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现行价格证明：提供京津冀平台、江苏六大类等依据；提</w:t>
      </w:r>
      <w:r>
        <w:rPr>
          <w:spacing w:val="-4"/>
          <w:sz w:val="30"/>
        </w:rPr>
        <w:t>供石家庄市内三甲医院购买该耗材的随货同行及发票</w:t>
      </w:r>
      <w:r>
        <w:rPr>
          <w:sz w:val="30"/>
        </w:rPr>
        <w:t>（常用耗材至少</w:t>
      </w:r>
      <w:r>
        <w:rPr>
          <w:spacing w:val="-7"/>
          <w:sz w:val="30"/>
        </w:rPr>
        <w:t>三家</w:t>
      </w:r>
      <w:r>
        <w:rPr>
          <w:sz w:val="30"/>
        </w:rPr>
        <w:t>）。</w:t>
      </w:r>
    </w:p>
    <w:p>
      <w:pPr>
        <w:pStyle w:val="8"/>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8"/>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8"/>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8"/>
        <w:numPr>
          <w:ilvl w:val="0"/>
          <w:numId w:val="0"/>
        </w:numPr>
        <w:tabs>
          <w:tab w:val="left" w:pos="2254"/>
        </w:tabs>
        <w:spacing w:before="0" w:after="0" w:line="273" w:lineRule="auto"/>
        <w:ind w:leftChars="200" w:right="905" w:rightChars="0" w:firstLine="600" w:firstLineChars="200"/>
        <w:jc w:val="left"/>
        <w:rPr>
          <w:rFonts w:hint="eastAsia"/>
          <w:sz w:val="30"/>
          <w:lang w:val="en-US" w:eastAsia="zh-CN"/>
        </w:rPr>
      </w:pPr>
      <w:r>
        <w:rPr>
          <w:rFonts w:hint="eastAsia"/>
          <w:sz w:val="30"/>
          <w:lang w:eastAsia="zh-CN"/>
        </w:rPr>
        <w:t>以上资料，装订成册，扫描电子版在规定时间内发至邮箱</w:t>
      </w:r>
      <w:r>
        <w:rPr>
          <w:rFonts w:hint="eastAsia"/>
          <w:sz w:val="30"/>
          <w:lang w:val="en-US" w:eastAsia="zh-CN"/>
        </w:rPr>
        <w:t>Ysrmyyhczj@126.com，邮件名称：项目编码+项目名称+供应商名称，不需再交纸质版。</w:t>
      </w:r>
    </w:p>
    <w:p>
      <w:pPr>
        <w:pStyle w:val="8"/>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报名截止时间：2022年11月1日</w:t>
      </w:r>
    </w:p>
    <w:p>
      <w:pPr>
        <w:pStyle w:val="8"/>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地址：石家庄建华南大街365号石家庄市人民医院</w:t>
      </w:r>
    </w:p>
    <w:p>
      <w:pPr>
        <w:pStyle w:val="8"/>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 xml:space="preserve">                            医学装备部</w:t>
      </w:r>
    </w:p>
    <w:p>
      <w:pPr>
        <w:pStyle w:val="8"/>
        <w:numPr>
          <w:ilvl w:val="0"/>
          <w:numId w:val="0"/>
        </w:numPr>
        <w:tabs>
          <w:tab w:val="left" w:pos="2254"/>
        </w:tabs>
        <w:spacing w:before="0" w:after="0" w:line="273" w:lineRule="auto"/>
        <w:ind w:leftChars="200" w:right="905" w:rightChars="0" w:firstLine="600" w:firstLineChars="200"/>
        <w:jc w:val="left"/>
        <w:rPr>
          <w:rFonts w:hint="default"/>
          <w:color w:val="auto"/>
          <w:sz w:val="30"/>
          <w:lang w:val="en-US" w:eastAsia="zh-CN"/>
        </w:rPr>
      </w:pPr>
      <w:r>
        <w:rPr>
          <w:rFonts w:hint="eastAsia"/>
          <w:color w:val="auto"/>
          <w:sz w:val="30"/>
          <w:lang w:val="en-US" w:eastAsia="zh-CN"/>
        </w:rPr>
        <w:t xml:space="preserve">                          2022年10月27日</w:t>
      </w:r>
    </w:p>
    <w:p>
      <w:pPr>
        <w:spacing w:line="320" w:lineRule="exact"/>
        <w:rPr>
          <w:rFonts w:hint="eastAsia" w:ascii="宋体" w:hAnsi="宋体" w:cs="宋体"/>
          <w:sz w:val="28"/>
          <w:szCs w:val="28"/>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2236"/>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pStyle w:val="2"/>
              <w:shd w:val="clear" w:color="auto" w:fill="FFFFFF"/>
              <w:spacing w:before="75" w:beforeAutospacing="0" w:line="320" w:lineRule="exact"/>
              <w:ind w:left="0" w:leftChars="0" w:right="0" w:rightChars="0" w:firstLine="0" w:firstLineChars="0"/>
              <w:jc w:val="center"/>
              <w:rPr>
                <w:rFonts w:hint="eastAsia" w:asciiTheme="majorEastAsia" w:hAnsiTheme="majorEastAsia" w:eastAsiaTheme="majorEastAsia" w:cstheme="majorEastAsia"/>
                <w:b/>
                <w:bCs/>
                <w:sz w:val="24"/>
                <w:szCs w:val="24"/>
                <w:lang w:val="zh-CN" w:eastAsia="zh-CN" w:bidi="zh-CN"/>
              </w:rPr>
            </w:pPr>
            <w:r>
              <w:rPr>
                <w:rFonts w:hint="eastAsia" w:asciiTheme="majorEastAsia" w:hAnsiTheme="majorEastAsia" w:eastAsiaTheme="majorEastAsia" w:cstheme="majorEastAsia"/>
                <w:sz w:val="24"/>
                <w:szCs w:val="24"/>
              </w:rPr>
              <w:t>项目编码</w:t>
            </w:r>
          </w:p>
        </w:tc>
        <w:tc>
          <w:tcPr>
            <w:tcW w:w="2236" w:type="dxa"/>
            <w:vAlign w:val="center"/>
          </w:tcPr>
          <w:p>
            <w:pPr>
              <w:pStyle w:val="2"/>
              <w:shd w:val="clear" w:color="auto" w:fill="FFFFFF"/>
              <w:spacing w:before="75" w:beforeAutospacing="0" w:line="320" w:lineRule="exact"/>
              <w:ind w:left="0" w:leftChars="0" w:right="0" w:rightChars="0" w:firstLine="0" w:firstLineChars="0"/>
              <w:jc w:val="center"/>
              <w:rPr>
                <w:rFonts w:hint="eastAsia" w:asciiTheme="majorEastAsia" w:hAnsiTheme="majorEastAsia" w:eastAsiaTheme="majorEastAsia" w:cstheme="majorEastAsia"/>
                <w:b/>
                <w:bCs/>
                <w:sz w:val="24"/>
                <w:szCs w:val="24"/>
                <w:lang w:val="zh-CN" w:eastAsia="zh-CN" w:bidi="zh-CN"/>
              </w:rPr>
            </w:pPr>
            <w:r>
              <w:rPr>
                <w:rFonts w:hint="eastAsia" w:asciiTheme="majorEastAsia" w:hAnsiTheme="majorEastAsia" w:eastAsiaTheme="majorEastAsia" w:cstheme="majorEastAsia"/>
                <w:sz w:val="24"/>
                <w:szCs w:val="24"/>
              </w:rPr>
              <w:t>项目名称</w:t>
            </w:r>
          </w:p>
        </w:tc>
        <w:tc>
          <w:tcPr>
            <w:tcW w:w="4295" w:type="dxa"/>
            <w:vAlign w:val="center"/>
          </w:tcPr>
          <w:p>
            <w:pPr>
              <w:pStyle w:val="2"/>
              <w:shd w:val="clear" w:color="auto" w:fill="FFFFFF"/>
              <w:spacing w:before="75" w:beforeAutospacing="0" w:line="320" w:lineRule="exact"/>
              <w:ind w:left="904" w:leftChars="0" w:right="0" w:rightChars="0" w:firstLine="482" w:firstLineChars="200"/>
              <w:jc w:val="both"/>
              <w:rPr>
                <w:rFonts w:hint="eastAsia" w:asciiTheme="majorEastAsia" w:hAnsiTheme="majorEastAsia" w:eastAsiaTheme="majorEastAsia" w:cstheme="majorEastAsia"/>
                <w:b/>
                <w:bCs/>
                <w:sz w:val="24"/>
                <w:szCs w:val="24"/>
                <w:lang w:val="zh-CN" w:eastAsia="zh-CN" w:bidi="zh-CN"/>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E1027-1</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气管切开套管</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应用于儿童的气管切开套管</w:t>
            </w:r>
          </w:p>
          <w:p>
            <w:pPr>
              <w:numPr>
                <w:ilvl w:val="0"/>
                <w:numId w:val="1"/>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透明柔软固定翼，提高病人舒适度方便临床护理人员观察固定翼下方造口周围皮肤；</w:t>
            </w:r>
          </w:p>
          <w:p>
            <w:pPr>
              <w:numPr>
                <w:ilvl w:val="0"/>
                <w:numId w:val="1"/>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固定翼周围气孔增加空气疏通，降低固定翼接触患者皮肤造成皮肤损伤；</w:t>
            </w:r>
          </w:p>
          <w:p>
            <w:pPr>
              <w:numPr>
                <w:ilvl w:val="0"/>
                <w:numId w:val="1"/>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可弯曲外套管，方便临床医生置入的同时维持气道通畅；</w:t>
            </w:r>
          </w:p>
          <w:p>
            <w:pPr>
              <w:numPr>
                <w:ilvl w:val="0"/>
                <w:numId w:val="1"/>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锥形球囊，更好的封闭气道从而减少液体渗漏，降低气道壁的压力。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E1027-2</w:t>
            </w:r>
          </w:p>
        </w:tc>
        <w:tc>
          <w:tcPr>
            <w:tcW w:w="2236"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全降解鼻窦药物支架系统</w:t>
            </w:r>
          </w:p>
        </w:tc>
        <w:tc>
          <w:tcPr>
            <w:tcW w:w="4295" w:type="dxa"/>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为降低慢性鼻窦炎的复发率及再手术率，长度12mm，14mm，16mm，直径25mm，40mm，42mm。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E1027-3</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一次性磨钻头</w:t>
            </w:r>
          </w:p>
        </w:tc>
        <w:tc>
          <w:tcPr>
            <w:tcW w:w="4295" w:type="dxa"/>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耳科磨钻头，尺寸齐权，1mm-7mm，柄径2.35mm，适配现有设备：品牌彼岸动力系统。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E1027-4</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可调式鼻腔冲洗器</w:t>
            </w:r>
          </w:p>
        </w:tc>
        <w:tc>
          <w:tcPr>
            <w:tcW w:w="4295" w:type="dxa"/>
          </w:tcPr>
          <w:p>
            <w:pPr>
              <w:numPr>
                <w:ilvl w:val="0"/>
                <w:numId w:val="2"/>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海水浓度：海水0.85%-1.04%（等渗）2.3%-2.8%（等渗）；</w:t>
            </w:r>
          </w:p>
          <w:p>
            <w:pPr>
              <w:numPr>
                <w:ilvl w:val="0"/>
                <w:numId w:val="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PH值为6.5-8.0；</w:t>
            </w:r>
          </w:p>
          <w:p>
            <w:pPr>
              <w:numPr>
                <w:ilvl w:val="0"/>
                <w:numId w:val="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重金属含量低于20ug/ml；</w:t>
            </w:r>
          </w:p>
          <w:p>
            <w:pPr>
              <w:numPr>
                <w:ilvl w:val="0"/>
                <w:numId w:val="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海水无菌，无添加剂；</w:t>
            </w:r>
          </w:p>
          <w:p>
            <w:pPr>
              <w:numPr>
                <w:ilvl w:val="0"/>
                <w:numId w:val="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可调节流量大小，颗粒直径15-20um；</w:t>
            </w:r>
          </w:p>
          <w:p>
            <w:pPr>
              <w:numPr>
                <w:ilvl w:val="0"/>
                <w:numId w:val="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配有可拆卸面罩；</w:t>
            </w:r>
          </w:p>
          <w:p>
            <w:pPr>
              <w:numPr>
                <w:ilvl w:val="0"/>
                <w:numId w:val="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可使用15天左右；</w:t>
            </w:r>
          </w:p>
          <w:p>
            <w:pPr>
              <w:numPr>
                <w:ilvl w:val="0"/>
                <w:numId w:val="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经过灭菌处理。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J1027-1</w:t>
            </w:r>
          </w:p>
        </w:tc>
        <w:tc>
          <w:tcPr>
            <w:tcW w:w="2236" w:type="dxa"/>
            <w:vAlign w:val="center"/>
          </w:tcPr>
          <w:p>
            <w:pPr>
              <w:ind w:left="0" w:leftChars="0" w:right="0" w:rightChars="0"/>
              <w:jc w:val="both"/>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总免疫球蛋白E检测试剂盒</w:t>
            </w:r>
          </w:p>
        </w:tc>
        <w:tc>
          <w:tcPr>
            <w:tcW w:w="4295" w:type="dxa"/>
          </w:tcPr>
          <w:p>
            <w:pPr>
              <w:numPr>
                <w:numId w:val="0"/>
              </w:numPr>
              <w:ind w:right="0" w:righ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适配AU5400/5800全自动生化分析仪</w:t>
            </w:r>
          </w:p>
          <w:p>
            <w:pPr>
              <w:numPr>
                <w:ilvl w:val="0"/>
                <w:numId w:val="3"/>
              </w:numPr>
              <w:ind w:right="0" w:righ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有配套校准品，校准稳定期不低于4周；</w:t>
            </w:r>
          </w:p>
          <w:p>
            <w:pPr>
              <w:numPr>
                <w:ilvl w:val="0"/>
                <w:numId w:val="3"/>
              </w:numPr>
              <w:ind w:left="0" w:leftChars="0" w:right="0" w:rightChars="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有配套质控品；</w:t>
            </w:r>
          </w:p>
          <w:p>
            <w:pPr>
              <w:numPr>
                <w:ilvl w:val="0"/>
                <w:numId w:val="3"/>
              </w:numPr>
              <w:ind w:left="0" w:leftChars="0" w:right="0" w:rightChars="0" w:firstLine="0" w:firstLine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最低检测限10IU/ml；</w:t>
            </w:r>
          </w:p>
          <w:p>
            <w:pPr>
              <w:numPr>
                <w:ilvl w:val="0"/>
                <w:numId w:val="3"/>
              </w:numPr>
              <w:ind w:left="0" w:leftChars="0" w:right="0" w:rightChars="0" w:firstLine="0" w:firstLine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检测值60000IU/ml无前带效应；</w:t>
            </w:r>
          </w:p>
          <w:p>
            <w:pPr>
              <w:numPr>
                <w:ilvl w:val="0"/>
                <w:numId w:val="3"/>
              </w:numPr>
              <w:ind w:left="0" w:leftChars="0" w:right="0" w:rightChars="0" w:firstLine="0" w:firstLine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国家卫健委临检中心室间质评有单独分组。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J1027-2</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尿液定量生化液体非定值质控品</w:t>
            </w:r>
          </w:p>
        </w:tc>
        <w:tc>
          <w:tcPr>
            <w:tcW w:w="4295" w:type="dxa"/>
          </w:tcPr>
          <w:p>
            <w:pPr>
              <w:numPr>
                <w:numId w:val="0"/>
              </w:numPr>
              <w:ind w:right="0" w:righ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国产，适用所有全自动生化分析仪和型号。</w:t>
            </w:r>
          </w:p>
          <w:p>
            <w:pPr>
              <w:numPr>
                <w:ilvl w:val="0"/>
                <w:numId w:val="4"/>
              </w:numPr>
              <w:ind w:right="0" w:righ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复合质控品，包含项目总蛋白、白蛋白、微量白蛋白、淀粉酶、葡萄糖、酸碱度、渗透压、比重、尿素、尿酸、纳、钾、磷、钙、氯、镁、皮质醇、肌酐，检测浓度含为正常值和高值两个浓度水平；</w:t>
            </w:r>
          </w:p>
          <w:p>
            <w:pPr>
              <w:numPr>
                <w:ilvl w:val="0"/>
                <w:numId w:val="4"/>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人源基质，有效期可达3年，能保证同批号长期供应；</w:t>
            </w:r>
          </w:p>
          <w:p>
            <w:pPr>
              <w:numPr>
                <w:ilvl w:val="0"/>
                <w:numId w:val="4"/>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开瓶稳定期不少于90天，2-8度冷藏保存；</w:t>
            </w:r>
          </w:p>
          <w:p>
            <w:pPr>
              <w:numPr>
                <w:ilvl w:val="0"/>
                <w:numId w:val="4"/>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通用性好，可适用不同品牌仪器做相同项目。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J1027-3</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特定蛋白液体非定值质控品</w:t>
            </w:r>
          </w:p>
        </w:tc>
        <w:tc>
          <w:tcPr>
            <w:tcW w:w="4295" w:type="dxa"/>
          </w:tcPr>
          <w:p>
            <w:pPr>
              <w:numPr>
                <w:ilvl w:val="0"/>
                <w:numId w:val="0"/>
              </w:numPr>
              <w:ind w:right="0" w:righ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国产，适用所有全自动生化分析仪和型号。</w:t>
            </w:r>
          </w:p>
          <w:p>
            <w:pPr>
              <w:numPr>
                <w:ilvl w:val="0"/>
                <w:numId w:val="5"/>
              </w:numPr>
              <w:ind w:right="0" w:right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复合质控品，质控项目包含：β2微量球蛋白、抗凝血酶Ⅲ、白蛋白、抗“O”,C3,C4,铜蓝蛋白、CRP、铁蛋白、触珠蛋白、lgA,lgE，lgG,lgM，k轻链、前白蛋白、RBP、类风湿因子、转铁蛋白；</w:t>
            </w:r>
            <w:bookmarkStart w:id="0" w:name="_GoBack"/>
            <w:bookmarkEnd w:id="0"/>
          </w:p>
          <w:p>
            <w:pPr>
              <w:numPr>
                <w:ilvl w:val="0"/>
                <w:numId w:val="5"/>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有效期可达3年，能保证同批号长期供应；</w:t>
            </w:r>
          </w:p>
          <w:p>
            <w:pPr>
              <w:numPr>
                <w:ilvl w:val="0"/>
                <w:numId w:val="5"/>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开瓶稳定期不少于30天，2-8度冷藏保存，检测低中高三个浓度水平；</w:t>
            </w:r>
          </w:p>
          <w:p>
            <w:pPr>
              <w:numPr>
                <w:ilvl w:val="0"/>
                <w:numId w:val="5"/>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人源基质，可适用于不同品牌仪器。</w:t>
            </w:r>
          </w:p>
        </w:tc>
      </w:tr>
    </w:tbl>
    <w:p>
      <w:pPr>
        <w:spacing w:line="320" w:lineRule="exact"/>
        <w:rPr>
          <w:rFonts w:hint="eastAsia"/>
          <w:b/>
          <w:sz w:val="30"/>
          <w:lang w:val="en-US" w:eastAsia="zh-CN"/>
        </w:rPr>
      </w:pPr>
    </w:p>
    <w:p>
      <w:pPr>
        <w:spacing w:line="320" w:lineRule="exact"/>
        <w:rPr>
          <w:rFonts w:hint="eastAsia" w:ascii="宋体" w:hAnsi="宋体" w:cs="宋体"/>
          <w:sz w:val="28"/>
          <w:szCs w:val="28"/>
        </w:rPr>
      </w:pPr>
      <w:r>
        <w:rPr>
          <w:rFonts w:hint="eastAsia"/>
          <w:b/>
          <w:sz w:val="30"/>
          <w:lang w:val="en-US" w:eastAsia="zh-CN"/>
        </w:rPr>
        <w:t>我院有以下耗材进行二次征集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2236"/>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pStyle w:val="2"/>
              <w:shd w:val="clear" w:color="auto" w:fill="FFFFFF"/>
              <w:spacing w:before="75" w:beforeAutospacing="0" w:line="320" w:lineRule="exact"/>
              <w:ind w:left="0" w:leftChars="0" w:right="0" w:rightChars="0" w:firstLine="0" w:firstLineChars="0"/>
              <w:jc w:val="center"/>
              <w:rPr>
                <w:rFonts w:hint="eastAsia" w:asciiTheme="majorEastAsia" w:hAnsiTheme="majorEastAsia" w:eastAsiaTheme="majorEastAsia" w:cstheme="majorEastAsia"/>
                <w:b/>
                <w:bCs/>
                <w:sz w:val="24"/>
                <w:szCs w:val="24"/>
                <w:lang w:val="zh-CN" w:eastAsia="zh-CN" w:bidi="zh-CN"/>
              </w:rPr>
            </w:pPr>
            <w:r>
              <w:rPr>
                <w:rFonts w:hint="eastAsia" w:asciiTheme="majorEastAsia" w:hAnsiTheme="majorEastAsia" w:eastAsiaTheme="majorEastAsia" w:cstheme="majorEastAsia"/>
                <w:sz w:val="24"/>
                <w:szCs w:val="24"/>
              </w:rPr>
              <w:t>项目编码</w:t>
            </w:r>
          </w:p>
        </w:tc>
        <w:tc>
          <w:tcPr>
            <w:tcW w:w="2236" w:type="dxa"/>
            <w:vAlign w:val="center"/>
          </w:tcPr>
          <w:p>
            <w:pPr>
              <w:pStyle w:val="2"/>
              <w:shd w:val="clear" w:color="auto" w:fill="FFFFFF"/>
              <w:spacing w:before="75" w:beforeAutospacing="0" w:line="320" w:lineRule="exact"/>
              <w:ind w:left="0" w:leftChars="0" w:right="0" w:rightChars="0" w:firstLine="0" w:firstLineChars="0"/>
              <w:jc w:val="center"/>
              <w:rPr>
                <w:rFonts w:hint="eastAsia" w:asciiTheme="majorEastAsia" w:hAnsiTheme="majorEastAsia" w:eastAsiaTheme="majorEastAsia" w:cstheme="majorEastAsia"/>
                <w:b/>
                <w:bCs/>
                <w:sz w:val="24"/>
                <w:szCs w:val="24"/>
                <w:lang w:val="zh-CN" w:eastAsia="zh-CN" w:bidi="zh-CN"/>
              </w:rPr>
            </w:pPr>
            <w:r>
              <w:rPr>
                <w:rFonts w:hint="eastAsia" w:asciiTheme="majorEastAsia" w:hAnsiTheme="majorEastAsia" w:eastAsiaTheme="majorEastAsia" w:cstheme="majorEastAsia"/>
                <w:sz w:val="24"/>
                <w:szCs w:val="24"/>
              </w:rPr>
              <w:t>项目名称</w:t>
            </w:r>
          </w:p>
        </w:tc>
        <w:tc>
          <w:tcPr>
            <w:tcW w:w="4295" w:type="dxa"/>
            <w:vAlign w:val="center"/>
          </w:tcPr>
          <w:p>
            <w:pPr>
              <w:pStyle w:val="2"/>
              <w:shd w:val="clear" w:color="auto" w:fill="FFFFFF"/>
              <w:spacing w:before="75" w:beforeAutospacing="0" w:line="320" w:lineRule="exact"/>
              <w:ind w:left="904" w:leftChars="0" w:right="0" w:rightChars="0" w:firstLine="482" w:firstLineChars="200"/>
              <w:jc w:val="both"/>
              <w:rPr>
                <w:rFonts w:hint="eastAsia" w:asciiTheme="majorEastAsia" w:hAnsiTheme="majorEastAsia" w:eastAsiaTheme="majorEastAsia" w:cstheme="majorEastAsia"/>
                <w:b/>
                <w:bCs/>
                <w:sz w:val="24"/>
                <w:szCs w:val="24"/>
                <w:lang w:val="zh-CN" w:eastAsia="zh-CN" w:bidi="zh-CN"/>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C1018-1</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超声隔离膜</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预防交叉感染。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Z1018-1</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膜型血浆分离器</w:t>
            </w:r>
          </w:p>
        </w:tc>
        <w:tc>
          <w:tcPr>
            <w:tcW w:w="4295" w:type="dxa"/>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适配川橙品牌，型号KM9000，血液净化装置。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Y1018-1</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增视仪</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用于近视眼的预防，调节性近视，儿童弱视的治疗。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Y1018-2</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眼科手术器械</w:t>
            </w:r>
          </w:p>
        </w:tc>
        <w:tc>
          <w:tcPr>
            <w:tcW w:w="4295" w:type="dxa"/>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1.推注系统；2.人工晶状体定位钩；3.标记环；4.眼科手术器械手柄；5.显微眼用镊。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X1018-1</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分支型术中支架系统</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用于主动脉外科手术。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X1018-2</w:t>
            </w:r>
          </w:p>
        </w:tc>
        <w:tc>
          <w:tcPr>
            <w:tcW w:w="2236"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胸骨固定带</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用于开胸手术的胸骨固定，防止胸骨哚开，减少并发症。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X1018-3</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外科用封合剂</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用于主动脉外科手术。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X1018-4</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双绒编织人造血管</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用于主动脉外科手术。</w:t>
            </w:r>
          </w:p>
        </w:tc>
      </w:tr>
    </w:tbl>
    <w:p>
      <w:pPr>
        <w:spacing w:line="320" w:lineRule="exact"/>
        <w:rPr>
          <w:rFonts w:hint="eastAsia" w:ascii="宋体" w:hAnsi="宋体" w:cs="宋体"/>
          <w:sz w:val="28"/>
          <w:szCs w:val="28"/>
        </w:rPr>
      </w:pPr>
    </w:p>
    <w:p>
      <w:pPr>
        <w:spacing w:line="320" w:lineRule="exact"/>
        <w:rPr>
          <w:rFonts w:hint="eastAsia"/>
          <w:b/>
          <w:sz w:val="30"/>
          <w:lang w:val="en-US" w:eastAsia="zh-CN"/>
        </w:rPr>
      </w:pPr>
      <w:r>
        <w:rPr>
          <w:rFonts w:hint="eastAsia"/>
          <w:b/>
          <w:sz w:val="30"/>
          <w:lang w:val="en-US" w:eastAsia="zh-CN"/>
        </w:rPr>
        <w:t>我院有以下耗材进行三次征集</w:t>
      </w:r>
    </w:p>
    <w:tbl>
      <w:tblPr>
        <w:tblStyle w:val="4"/>
        <w:tblpPr w:leftFromText="180" w:rightFromText="180" w:vertAnchor="text" w:horzAnchor="page" w:tblpX="1792" w:tblpY="723"/>
        <w:tblW w:w="8845" w:type="dxa"/>
        <w:tblInd w:w="0" w:type="dxa"/>
        <w:tblLayout w:type="fixed"/>
        <w:tblCellMar>
          <w:top w:w="0" w:type="dxa"/>
          <w:left w:w="108" w:type="dxa"/>
          <w:bottom w:w="0" w:type="dxa"/>
          <w:right w:w="108" w:type="dxa"/>
        </w:tblCellMar>
      </w:tblPr>
      <w:tblGrid>
        <w:gridCol w:w="1331"/>
        <w:gridCol w:w="1650"/>
        <w:gridCol w:w="5864"/>
      </w:tblGrid>
      <w:tr>
        <w:tblPrEx>
          <w:tblCellMar>
            <w:top w:w="0" w:type="dxa"/>
            <w:left w:w="108" w:type="dxa"/>
            <w:bottom w:w="0" w:type="dxa"/>
            <w:right w:w="108" w:type="dxa"/>
          </w:tblCellMar>
        </w:tblPrEx>
        <w:trPr>
          <w:trHeight w:val="703"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b/>
                <w:sz w:val="30"/>
                <w:lang w:val="en-US" w:eastAsia="zh-CN"/>
              </w:rPr>
            </w:pPr>
            <w:r>
              <w:rPr>
                <w:rFonts w:hint="eastAsia"/>
                <w:b/>
                <w:sz w:val="30"/>
                <w:lang w:val="en-US" w:eastAsia="zh-CN"/>
              </w:rPr>
              <w:t>项目编码</w:t>
            </w:r>
          </w:p>
        </w:tc>
        <w:tc>
          <w:tcPr>
            <w:tcW w:w="1650" w:type="dxa"/>
            <w:tcBorders>
              <w:top w:val="single" w:color="auto" w:sz="4" w:space="0"/>
              <w:left w:val="nil"/>
              <w:bottom w:val="single" w:color="auto" w:sz="4" w:space="0"/>
              <w:right w:val="single" w:color="auto" w:sz="4" w:space="0"/>
            </w:tcBorders>
            <w:shd w:val="clear" w:color="auto" w:fill="auto"/>
            <w:vAlign w:val="center"/>
          </w:tcPr>
          <w:p>
            <w:pPr>
              <w:spacing w:line="320" w:lineRule="exact"/>
              <w:rPr>
                <w:rFonts w:hint="eastAsia"/>
                <w:b/>
                <w:sz w:val="30"/>
                <w:lang w:val="en-US" w:eastAsia="zh-CN"/>
              </w:rPr>
            </w:pPr>
            <w:r>
              <w:rPr>
                <w:rFonts w:hint="eastAsia"/>
                <w:b/>
                <w:sz w:val="30"/>
                <w:lang w:val="en-US" w:eastAsia="zh-CN"/>
              </w:rPr>
              <w:t>项目名称</w:t>
            </w:r>
          </w:p>
        </w:tc>
        <w:tc>
          <w:tcPr>
            <w:tcW w:w="5864" w:type="dxa"/>
            <w:tcBorders>
              <w:top w:val="single" w:color="auto" w:sz="4" w:space="0"/>
              <w:left w:val="nil"/>
              <w:bottom w:val="single" w:color="auto" w:sz="4" w:space="0"/>
              <w:right w:val="single" w:color="auto" w:sz="4" w:space="0"/>
            </w:tcBorders>
            <w:shd w:val="clear" w:color="auto" w:fill="auto"/>
            <w:vAlign w:val="center"/>
          </w:tcPr>
          <w:p>
            <w:pPr>
              <w:spacing w:line="320" w:lineRule="exact"/>
              <w:rPr>
                <w:rFonts w:hint="eastAsia"/>
                <w:b/>
                <w:sz w:val="30"/>
                <w:lang w:val="en-US" w:eastAsia="zh-CN"/>
              </w:rPr>
            </w:pPr>
            <w:r>
              <w:rPr>
                <w:rFonts w:hint="eastAsia"/>
                <w:b/>
                <w:sz w:val="30"/>
                <w:lang w:val="en-US" w:eastAsia="zh-CN"/>
              </w:rPr>
              <w:t>功能需求</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X0912-2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氧化膜单铆房间隔（室间隔、动脉导管未闭）封堵器</w:t>
            </w:r>
          </w:p>
        </w:tc>
        <w:tc>
          <w:tcPr>
            <w:tcW w:w="5864"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1.先天性心脏病封堵</w:t>
            </w:r>
          </w:p>
          <w:p>
            <w:pPr>
              <w:snapToGrid/>
              <w:spacing w:before="0" w:beforeAutospacing="0" w:after="0" w:afterAutospacing="0" w:line="24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.型号规格齐全</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X0912-3</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人工生物心脏瓣膜</w:t>
            </w:r>
          </w:p>
        </w:tc>
        <w:tc>
          <w:tcPr>
            <w:tcW w:w="5864"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1.心脏瓣膜置换</w:t>
            </w: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b w:val="0"/>
                <w:i w:val="0"/>
                <w:caps w:val="0"/>
                <w:spacing w:val="0"/>
                <w:w w:val="100"/>
                <w:sz w:val="24"/>
                <w:szCs w:val="24"/>
              </w:rPr>
              <w:t>牛心包瓣，价格适中，国产</w:t>
            </w:r>
            <w:r>
              <w:rPr>
                <w:rFonts w:hint="eastAsia" w:ascii="宋体" w:hAnsi="宋体" w:eastAsia="宋体" w:cs="宋体"/>
                <w:b w:val="0"/>
                <w:i w:val="0"/>
                <w:caps w:val="0"/>
                <w:spacing w:val="0"/>
                <w:w w:val="100"/>
                <w:sz w:val="24"/>
                <w:szCs w:val="24"/>
                <w:lang w:eastAsia="zh-CN"/>
              </w:rPr>
              <w:t>。</w:t>
            </w:r>
          </w:p>
          <w:p>
            <w:pP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641"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M0912-1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一次性泵用流量设定精密过滤输液器</w:t>
            </w:r>
          </w:p>
        </w:tc>
        <w:tc>
          <w:tcPr>
            <w:tcW w:w="58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1、持续静脉输注药物</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2、持续精准、稳定控制药物流量</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3、精密过滤</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4、有效保持血药浓度</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es-ES" w:eastAsia="zh-CN"/>
              </w:rPr>
              <w:t>、输液器材质安全</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es-ES" w:eastAsia="zh-CN"/>
              </w:rPr>
              <w:t>、泵体结构独特 ，输液动力稳定</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es-ES" w:eastAsia="zh-CN"/>
              </w:rPr>
              <w:t>操作简单，使用过程中流速稳定</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val="es-ES" w:eastAsia="zh-CN"/>
              </w:rPr>
              <w:t>产品无电源、携带方便</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val="es-ES" w:eastAsia="zh-CN"/>
              </w:rPr>
              <w:t>精密过滤器为1.2um和0.2um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M0912-4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宋体" w:hAnsi="宋体" w:eastAsia="宋体" w:cs="宋体"/>
                <w:kern w:val="0"/>
                <w:sz w:val="24"/>
                <w:szCs w:val="24"/>
                <w:lang w:val="es-ES" w:eastAsia="zh-CN"/>
              </w:rPr>
              <w:t>分体式可视喉镜</w:t>
            </w:r>
            <w:r>
              <w:rPr>
                <w:rFonts w:hint="eastAsia" w:ascii="宋体" w:hAnsi="宋体" w:cs="宋体"/>
                <w:sz w:val="32"/>
                <w:szCs w:val="32"/>
              </w:rPr>
              <w:t xml:space="preserve"> </w:t>
            </w:r>
          </w:p>
        </w:tc>
        <w:tc>
          <w:tcPr>
            <w:tcW w:w="58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喉镜叶片按人体解剖结构90°叶片设计，符合人体生理弯曲，无需口、咽、喉三点一线。</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s-ES" w:eastAsia="zh-CN"/>
              </w:rPr>
              <w:t>喉镜叶片需要有引导槽结构设计，插管不需要导丝引导，可迅速挑起会厌暴露声门。可以通过喉镜叶片引导槽结构更换ETT管，导入光纤视镜，吸痰。可用于面对面插管、清醒插管、俯卧位及胸外按压情况的插管等。</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喉镜拥有多种可视选择方案（通过智能手机连接到手机、直接观察、接入院内内窥镜镜头、WIFI摄像头直接观察或通过摄像头蓝牙发射装置连接到手机或电脑）</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es-ES" w:eastAsia="zh-CN"/>
              </w:rPr>
              <w:t>喉镜需要有防雾功能，启动迅速，保证各种情况下视野清晰，高光强广角冷光源，视野清晰明亮。</w:t>
            </w:r>
          </w:p>
        </w:tc>
      </w:tr>
      <w:tr>
        <w:tblPrEx>
          <w:tblCellMar>
            <w:top w:w="0" w:type="dxa"/>
            <w:left w:w="108" w:type="dxa"/>
            <w:bottom w:w="0" w:type="dxa"/>
            <w:right w:w="108" w:type="dxa"/>
          </w:tblCellMar>
        </w:tblPrEx>
        <w:trPr>
          <w:trHeight w:val="2186"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一次性使用无菌眼科手术刀</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尺寸：1.角形穿刺刀 刀口宽度1.0mm-3.2mm</w:t>
            </w:r>
          </w:p>
          <w:p>
            <w:pPr>
              <w:numPr>
                <w:ilvl w:val="0"/>
                <w:numId w:val="6"/>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侧切口刀 角度15度</w:t>
            </w:r>
          </w:p>
          <w:p>
            <w:pPr>
              <w:numPr>
                <w:ilvl w:val="0"/>
                <w:numId w:val="6"/>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月形隧道刀 刃口宽度2.0mm 2.3mm</w:t>
            </w:r>
          </w:p>
          <w:p>
            <w:pPr>
              <w:numPr>
                <w:ilvl w:val="0"/>
                <w:numId w:val="6"/>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矛形刀19g 20g</w:t>
            </w:r>
          </w:p>
          <w:p>
            <w:pPr>
              <w:numPr>
                <w:ilvl w:val="0"/>
                <w:numId w:val="6"/>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R型植入刀 刃口宽度5.5mm</w:t>
            </w:r>
          </w:p>
          <w:p>
            <w:pPr>
              <w:numPr>
                <w:ilvl w:val="0"/>
                <w:numId w:val="6"/>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翼状胬肉切割刀 刃口宽度2.4mm</w:t>
            </w:r>
          </w:p>
          <w:p>
            <w:pPr>
              <w:numPr>
                <w:ilvl w:val="0"/>
                <w:numId w:val="6"/>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适配所有常规超声乳化仪器     </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S0916-1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可吸收高分子组织密封膜</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1.开颅术中硬膜修补后预防脑脊液漏。</w:t>
            </w:r>
          </w:p>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2.经蝶手术颅底重建。</w:t>
            </w:r>
          </w:p>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 经蝶手术预防鼻腔渗漏。</w:t>
            </w:r>
          </w:p>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4.脊柱肿瘤术后预防脑脊液渗漏。</w:t>
            </w:r>
          </w:p>
          <w:p>
            <w:pPr>
              <w:numPr>
                <w:ilvl w:val="0"/>
                <w:numId w:val="0"/>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val="en-US" w:eastAsia="zh-CN"/>
              </w:rPr>
              <w:t>5..自粘性，支撑性。同时可以为临时伤口提供可靠力量的可吸收性膜，有屏障保护作用，预防颅内感染，预防其他性感染。</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去细胞同种异体神经修复材料</w:t>
            </w:r>
          </w:p>
        </w:tc>
        <w:tc>
          <w:tcPr>
            <w:tcW w:w="5864" w:type="dxa"/>
            <w:tcBorders>
              <w:top w:val="single" w:color="auto" w:sz="4" w:space="0"/>
              <w:left w:val="nil"/>
              <w:bottom w:val="single" w:color="auto" w:sz="4" w:space="0"/>
              <w:right w:val="single" w:color="auto" w:sz="4" w:space="0"/>
            </w:tcBorders>
            <w:shd w:val="clear" w:color="auto" w:fill="auto"/>
            <w:vAlign w:val="top"/>
          </w:tcPr>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rPr>
              <w:t>1</w:t>
            </w:r>
            <w:r>
              <w:rPr>
                <w:rFonts w:hint="eastAsia" w:asciiTheme="majorEastAsia" w:hAnsiTheme="majorEastAsia" w:eastAsiaTheme="majorEastAsia" w:cstheme="majorEastAsia"/>
                <w:sz w:val="24"/>
                <w:szCs w:val="24"/>
                <w:lang w:val="en-US" w:eastAsia="zh-CN"/>
              </w:rPr>
              <w:t>.痉挛的手指、手腕能逐渐舒展开来，很好的恢复患肢的伸肘伸腕功能，继而是触碰和抓握功能得到显著提升</w:t>
            </w:r>
          </w:p>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2.前臂的旋转功能有所改善，肩关节的某些方向的动作将有变化。</w:t>
            </w:r>
          </w:p>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3.偏瘫侧下肢出现膝关节能够屈曲、抬腿的现象，独立行走能力也将得到更多改善，病人基本的生活自理可实现。</w:t>
            </w:r>
          </w:p>
          <w:p>
            <w:pPr>
              <w:numPr>
                <w:ilvl w:val="0"/>
                <w:numId w:val="0"/>
              </w:numPr>
              <w:ind w:right="0" w:rightChars="0"/>
              <w:rPr>
                <w:rFonts w:hint="default"/>
                <w:lang w:val="en-US" w:eastAsia="zh-CN"/>
              </w:rPr>
            </w:pPr>
            <w:r>
              <w:rPr>
                <w:rFonts w:hint="eastAsia" w:asciiTheme="majorEastAsia" w:hAnsiTheme="majorEastAsia" w:eastAsiaTheme="majorEastAsia" w:cstheme="majorEastAsia"/>
                <w:sz w:val="24"/>
                <w:szCs w:val="24"/>
                <w:lang w:val="en-US" w:eastAsia="zh-CN"/>
              </w:rPr>
              <w:t>4.无张力桥接神经，修复各种原因导致的神经缺损</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中间导引导管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7"/>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国产颅内支持导管，有优异的通过性和支撑力。在复杂血管中轻松达到病变建立稳定通路，方便术者操作，提高手术安全性</w:t>
            </w:r>
          </w:p>
          <w:p>
            <w:pPr>
              <w:numPr>
                <w:ilvl w:val="0"/>
                <w:numId w:val="7"/>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0.070in更大内腔，长度从95cm到135cm，提供更多型号选择，兼容更多器械。</w:t>
            </w:r>
          </w:p>
          <w:p>
            <w:pPr>
              <w:numPr>
                <w:ilvl w:val="0"/>
                <w:numId w:val="0"/>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3.不锈钢编织加镍钛螺旋结构，通过性好，支撑力优秀建立稳定通路，提高手术效率。</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1567"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S0916-5</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远端通路导引导管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8"/>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国产远端通路导引导管，可减少多系统同轴操作，操作简便快捷安全</w:t>
            </w:r>
          </w:p>
          <w:p>
            <w:pPr>
              <w:numPr>
                <w:ilvl w:val="0"/>
                <w:numId w:val="8"/>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该产品术中可提供稳定弓部支撑，可上达海绵窦段，建立稳定通路</w:t>
            </w:r>
          </w:p>
          <w:p>
            <w:pPr>
              <w:numPr>
                <w:ilvl w:val="0"/>
                <w:numId w:val="8"/>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0.017in内腔更大，105cm长度能兼容多种手术操作</w:t>
            </w:r>
          </w:p>
          <w:p>
            <w:pPr>
              <w:numPr>
                <w:ilvl w:val="0"/>
                <w:numId w:val="0"/>
              </w:numPr>
              <w:ind w:right="0" w:rightChars="0"/>
              <w:rPr>
                <w:rFonts w:hint="default"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S0916-6</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highlight w:val="none"/>
                <w:lang w:val="es-ES" w:eastAsia="zh-CN"/>
              </w:rPr>
            </w:pPr>
            <w:r>
              <w:rPr>
                <w:rFonts w:hint="eastAsia" w:asciiTheme="majorEastAsia" w:hAnsiTheme="majorEastAsia" w:eastAsiaTheme="majorEastAsia" w:cstheme="majorEastAsia"/>
                <w:color w:val="auto"/>
                <w:kern w:val="0"/>
                <w:sz w:val="24"/>
                <w:szCs w:val="24"/>
                <w:highlight w:val="none"/>
                <w:lang w:val="es-ES" w:eastAsia="zh-CN"/>
              </w:rPr>
              <w:t>颅内球囊扩张导管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9"/>
              </w:numP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快速交换型球囊扩张导管，简化操作</w:t>
            </w:r>
          </w:p>
          <w:p>
            <w:pPr>
              <w:numPr>
                <w:ilvl w:val="0"/>
                <w:numId w:val="9"/>
              </w:numP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规格型号齐全，直径1.5-4.0mm，长度8-20mm。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S0916-7</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取栓支架（开放卷曲</w:t>
            </w:r>
            <w:r>
              <w:rPr>
                <w:rFonts w:hint="eastAsia" w:asciiTheme="majorEastAsia" w:hAnsiTheme="majorEastAsia" w:eastAsiaTheme="majorEastAsia" w:cstheme="majorEastAsia"/>
                <w:color w:val="auto"/>
                <w:kern w:val="0"/>
                <w:sz w:val="24"/>
                <w:szCs w:val="24"/>
                <w:lang w:val="en-US" w:eastAsia="zh-CN"/>
              </w:rPr>
              <w:t>S型</w:t>
            </w:r>
            <w:r>
              <w:rPr>
                <w:rFonts w:hint="eastAsia" w:asciiTheme="majorEastAsia" w:hAnsiTheme="majorEastAsia" w:eastAsiaTheme="majorEastAsia" w:cstheme="majorEastAsia"/>
                <w:color w:val="auto"/>
                <w:kern w:val="0"/>
                <w:sz w:val="24"/>
                <w:szCs w:val="24"/>
                <w:lang w:val="es-ES" w:eastAsia="zh-CN"/>
              </w:rPr>
              <w:t>）</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开放卷曲S型侧边螺旋上升，血栓夹持力强，提高即刻开通率。</w:t>
            </w:r>
          </w:p>
          <w:p>
            <w:pPr>
              <w:numPr>
                <w:ilvl w:val="0"/>
                <w:numId w:val="10"/>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国产，直径3/4/5/6mm，长度15/20/25/30mm，更长的1900mm，全系配0.021微导管。</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S0916-8</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取栓支架（网篮）</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1"/>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支架头端设有抓捕篮，防止碎栓逃逸</w:t>
            </w:r>
          </w:p>
          <w:p>
            <w:pPr>
              <w:numPr>
                <w:ilvl w:val="0"/>
                <w:numId w:val="11"/>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支架全身显影</w:t>
            </w:r>
          </w:p>
          <w:p>
            <w:pPr>
              <w:numPr>
                <w:ilvl w:val="0"/>
                <w:numId w:val="11"/>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全身兼容0.017inch微导管，可进行远端血管取栓</w:t>
            </w:r>
          </w:p>
          <w:p>
            <w:pPr>
              <w:numPr>
                <w:ilvl w:val="0"/>
                <w:numId w:val="11"/>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直径3-6mm。长度25/30/35mm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S0916-9</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both"/>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椎动脉雷帕霉素靶向洗脱支架系统</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2"/>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球囊扩张式药物支架系统，可显著降低椎动脉长期再狭窄、症状复发率与再治疗率</w:t>
            </w:r>
          </w:p>
          <w:p>
            <w:pPr>
              <w:numPr>
                <w:ilvl w:val="0"/>
                <w:numId w:val="1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L605钴基合金材料，药物涂层为雷帕霉素，刻槽载药</w:t>
            </w:r>
          </w:p>
          <w:p>
            <w:pPr>
              <w:numPr>
                <w:ilvl w:val="0"/>
                <w:numId w:val="1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输送系统为快递交换式球囊扩张到管，支架直径为2.25-4.0mm，长度13/16/18/21/23，最小匹配5F导管释放。</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S0916-10</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highlight w:val="none"/>
                <w:lang w:val="es-ES" w:eastAsia="zh-CN"/>
              </w:rPr>
            </w:pPr>
            <w:r>
              <w:rPr>
                <w:rFonts w:hint="eastAsia" w:asciiTheme="majorEastAsia" w:hAnsiTheme="majorEastAsia" w:eastAsiaTheme="majorEastAsia" w:cstheme="majorEastAsia"/>
                <w:color w:val="auto"/>
                <w:kern w:val="0"/>
                <w:sz w:val="24"/>
                <w:szCs w:val="24"/>
                <w:highlight w:val="none"/>
                <w:lang w:val="es-ES" w:eastAsia="zh-CN"/>
              </w:rPr>
              <w:t>颅内球囊扩张导管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3"/>
              </w:numP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快速交换型球囊扩张导管，简化操作；155cm输送杆兼容所有中间导管</w:t>
            </w:r>
          </w:p>
          <w:p>
            <w:pPr>
              <w:numPr>
                <w:ilvl w:val="0"/>
                <w:numId w:val="13"/>
              </w:numP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规格型号齐全，最小直径1.0mm，最大直径5.0mm，包括半号球囊1.25mm，1.75mm等；球囊最大长度30mm，可满足特殊病变需求。</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S0916-11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封堵球囊导管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4"/>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临时阻断血流，提高取栓效率和安全性，减免血栓逃逸几率，缩短手术时间，提高患者预后</w:t>
            </w:r>
          </w:p>
          <w:p>
            <w:pPr>
              <w:numPr>
                <w:ilvl w:val="0"/>
                <w:numId w:val="14"/>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大内腔能兼容6F中间导管，建立更大内腔通路，长度85/95cm</w:t>
            </w:r>
          </w:p>
          <w:p>
            <w:pPr>
              <w:numPr>
                <w:ilvl w:val="0"/>
                <w:numId w:val="14"/>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国产球囊导引导管</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S0916-12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5"/>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不透射线硅胶管</w:t>
            </w:r>
          </w:p>
          <w:p>
            <w:pPr>
              <w:numPr>
                <w:ilvl w:val="0"/>
                <w:numId w:val="15"/>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浸渍药物：两种抗生素利福平和盐酸克林霉素</w:t>
            </w:r>
          </w:p>
          <w:p>
            <w:pPr>
              <w:numPr>
                <w:ilvl w:val="0"/>
                <w:numId w:val="15"/>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尺寸：内径1.9mm 外径3.4mm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Z0916-1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硅胶假体</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适用于鼻、下颌、乳房手术，植入稳定，不产生排斥，不易感染移位。</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Z0916-2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一次性使用无菌注射针</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适配深圳市中科微光医疗器械技术有限公司生产的：面部皮肤泵 型号：Skin 2 Skin Med</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一次性使用内镜消化道粘膜下填充剂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独立包装，10ml/支，预充式设计</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X0916-3</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醋酸黏膜染色剂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独立包装，10ml/支，预充式设计，灭菌包装，一次性使用。</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亚甲蓝黏膜染色剂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独立包装，10ml/支，预充式设计，灭菌包装，一次性使用。亚甲蓝浓度不小于0.3%。</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X0916-5</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碘黏膜染色剂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独立包装，10ml/支，预充式设计，灭菌包装，一次性使用外包装避光密封。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X0916-6</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靛胭脂黏膜染色剂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独立包装，10ml/支，预充式设计，灭菌包装，一次性使用外包装避光密封。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可吸收钉修补固定器</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有效固定补片，减少患者体内异物残留，满足多种手术需要。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P0916-3</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可崩解肠道吻合器</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4周内可自动崩解并排出体外，保护远端吻合口，避免人工肛门及二次还纳术，适合腹腔镜下手术，能在X线或CT检查中显影。</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伤口负压引流瓶系统及附件</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6"/>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真空瓶，引流管接头可变</w:t>
            </w:r>
          </w:p>
          <w:p>
            <w:pPr>
              <w:numPr>
                <w:ilvl w:val="0"/>
                <w:numId w:val="16"/>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双重关闭夹：防止引流物逆行，防止伤口感染</w:t>
            </w:r>
          </w:p>
          <w:p>
            <w:pPr>
              <w:numPr>
                <w:ilvl w:val="0"/>
                <w:numId w:val="16"/>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瓶身，刻度精准瓶底带微量刻度，最小测量值为10ml，内凹设计方便握持</w:t>
            </w:r>
          </w:p>
          <w:p>
            <w:pPr>
              <w:numPr>
                <w:ilvl w:val="0"/>
                <w:numId w:val="16"/>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穿刺钢针;管腔耐高压，不变形，不塌陷，不透X光，便于观察</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P0916-6</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造口袋</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7"/>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eastAsia="zh-CN"/>
              </w:rPr>
              <w:t>需要</w:t>
            </w:r>
            <w:r>
              <w:rPr>
                <w:rFonts w:hint="eastAsia" w:asciiTheme="majorEastAsia" w:hAnsiTheme="majorEastAsia" w:eastAsiaTheme="majorEastAsia" w:cstheme="majorEastAsia"/>
                <w:sz w:val="24"/>
                <w:szCs w:val="24"/>
              </w:rPr>
              <w:t>可塑免裁剪型造口底盘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免裁剪可以让年纪大的老人自己操作，同时保护</w:t>
            </w:r>
            <w:r>
              <w:rPr>
                <w:rFonts w:hint="eastAsia" w:asciiTheme="majorEastAsia" w:hAnsiTheme="majorEastAsia" w:eastAsiaTheme="majorEastAsia" w:cstheme="majorEastAsia"/>
                <w:sz w:val="24"/>
                <w:szCs w:val="24"/>
                <w:lang w:eastAsia="zh-CN"/>
              </w:rPr>
              <w:t>患者</w:t>
            </w:r>
            <w:r>
              <w:rPr>
                <w:rFonts w:hint="eastAsia" w:asciiTheme="majorEastAsia" w:hAnsiTheme="majorEastAsia" w:eastAsiaTheme="majorEastAsia" w:cstheme="majorEastAsia"/>
                <w:sz w:val="24"/>
                <w:szCs w:val="24"/>
              </w:rPr>
              <w:t>隐私。</w:t>
            </w:r>
          </w:p>
          <w:p>
            <w:pPr>
              <w:numPr>
                <w:ilvl w:val="0"/>
                <w:numId w:val="17"/>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eastAsia="zh-CN"/>
              </w:rPr>
              <w:t>需要</w:t>
            </w:r>
            <w:r>
              <w:rPr>
                <w:rFonts w:hint="eastAsia" w:asciiTheme="majorEastAsia" w:hAnsiTheme="majorEastAsia" w:eastAsiaTheme="majorEastAsia" w:cstheme="majorEastAsia"/>
                <w:sz w:val="24"/>
                <w:szCs w:val="24"/>
              </w:rPr>
              <w:t>可塑免裁剪造口产品</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能轻柔</w:t>
            </w:r>
            <w:r>
              <w:rPr>
                <w:rFonts w:hint="eastAsia" w:asciiTheme="majorEastAsia" w:hAnsiTheme="majorEastAsia" w:eastAsiaTheme="majorEastAsia" w:cstheme="majorEastAsia"/>
                <w:sz w:val="24"/>
                <w:szCs w:val="24"/>
              </w:rPr>
              <w:t>紧密的包裹造口周围</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能</w:t>
            </w:r>
            <w:r>
              <w:rPr>
                <w:rFonts w:hint="eastAsia" w:asciiTheme="majorEastAsia" w:hAnsiTheme="majorEastAsia" w:eastAsiaTheme="majorEastAsia" w:cstheme="majorEastAsia"/>
                <w:sz w:val="24"/>
                <w:szCs w:val="24"/>
              </w:rPr>
              <w:t>降低漏的发生，减少其他附件类产品的使用，降低科室耗材占比，减轻患者经济负担</w:t>
            </w:r>
            <w:r>
              <w:rPr>
                <w:rFonts w:hint="eastAsia" w:asciiTheme="majorEastAsia" w:hAnsiTheme="majorEastAsia" w:eastAsiaTheme="majorEastAsia" w:cstheme="majorEastAsia"/>
                <w:sz w:val="24"/>
                <w:szCs w:val="24"/>
                <w:lang w:eastAsia="zh-CN"/>
              </w:rPr>
              <w:t>。</w:t>
            </w:r>
          </w:p>
          <w:p>
            <w:pPr>
              <w:numPr>
                <w:ilvl w:val="0"/>
                <w:numId w:val="17"/>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eastAsia="zh-CN"/>
              </w:rPr>
              <w:t>需要多种型号的产品：根据患者造口的特点及恢复情况需要平面、凸面的底盘，凸面底盘还需要配合腰带。根据患者造口恢复情况底盘大小：需要最少两种型号一般</w:t>
            </w:r>
            <w:r>
              <w:rPr>
                <w:rFonts w:hint="eastAsia" w:asciiTheme="majorEastAsia" w:hAnsiTheme="majorEastAsia" w:eastAsiaTheme="majorEastAsia" w:cstheme="majorEastAsia"/>
                <w:sz w:val="24"/>
                <w:szCs w:val="24"/>
                <w:lang w:val="en-US" w:eastAsia="zh-CN"/>
              </w:rPr>
              <w:t>60mm和70mm直径的</w:t>
            </w:r>
            <w:r>
              <w:rPr>
                <w:rFonts w:hint="eastAsia" w:asciiTheme="majorEastAsia" w:hAnsiTheme="majorEastAsia" w:eastAsiaTheme="majorEastAsia" w:cstheme="majorEastAsia"/>
                <w:sz w:val="24"/>
                <w:szCs w:val="24"/>
                <w:lang w:eastAsia="zh-CN"/>
              </w:rPr>
              <w:t>。</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Y0909-1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眼科激光光纤</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适配现有设备：半导体眼内激光治疗仪</w:t>
            </w:r>
            <w:r>
              <w:rPr>
                <w:rFonts w:hint="eastAsia" w:asciiTheme="majorEastAsia" w:hAnsiTheme="majorEastAsia" w:eastAsiaTheme="majorEastAsia" w:cstheme="majorEastAsia"/>
                <w:sz w:val="24"/>
                <w:szCs w:val="24"/>
                <w:lang w:val="en-US" w:eastAsia="zh-CN"/>
              </w:rPr>
              <w:t xml:space="preserve"> 型号：美国-GL,可重复消毒使用。</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L0919-1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加热呼吸管路</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适配沈阳迈思医疗科技有限公司</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高流量呼吸湿化治疗仪</w:t>
            </w:r>
            <w:r>
              <w:rPr>
                <w:rFonts w:hint="eastAsia" w:asciiTheme="majorEastAsia" w:hAnsiTheme="majorEastAsia" w:eastAsiaTheme="majorEastAsia" w:cstheme="majorEastAsia"/>
                <w:sz w:val="24"/>
                <w:szCs w:val="24"/>
                <w:lang w:val="en-US" w:eastAsia="zh-CN"/>
              </w:rPr>
              <w:t xml:space="preserve"> 型号：HUMID-BH自动控氧型  </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bidi="zh-CN"/>
              </w:rPr>
            </w:pPr>
            <w:r>
              <w:rPr>
                <w:rFonts w:hint="eastAsia" w:asciiTheme="majorEastAsia" w:hAnsiTheme="majorEastAsia" w:eastAsiaTheme="majorEastAsia" w:cstheme="majorEastAsia"/>
                <w:color w:val="auto"/>
                <w:sz w:val="24"/>
                <w:szCs w:val="24"/>
                <w:lang w:val="en-US" w:eastAsia="zh-CN"/>
              </w:rPr>
              <w:t>B0809-1</w:t>
            </w:r>
          </w:p>
        </w:tc>
        <w:tc>
          <w:tcPr>
            <w:tcW w:w="1650"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bidi="zh-CN"/>
              </w:rPr>
            </w:pPr>
            <w:r>
              <w:rPr>
                <w:rFonts w:hint="eastAsia" w:asciiTheme="majorEastAsia" w:hAnsiTheme="majorEastAsia" w:eastAsiaTheme="majorEastAsia" w:cstheme="majorEastAsia"/>
                <w:color w:val="auto"/>
                <w:sz w:val="24"/>
                <w:szCs w:val="24"/>
                <w:lang w:val="es-ES" w:eastAsia="zh-CN"/>
              </w:rPr>
              <w:t xml:space="preserve">免疫组化试剂 </w:t>
            </w:r>
          </w:p>
        </w:tc>
        <w:tc>
          <w:tcPr>
            <w:tcW w:w="5864"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left"/>
              <w:rPr>
                <w:rFonts w:hint="eastAsia" w:asciiTheme="majorEastAsia" w:hAnsiTheme="majorEastAsia" w:eastAsiaTheme="majorEastAsia" w:cstheme="majorEastAsia"/>
                <w:color w:val="auto"/>
                <w:sz w:val="24"/>
                <w:szCs w:val="24"/>
                <w:lang w:val="en-US" w:eastAsia="zh-CN" w:bidi="zh-CN"/>
              </w:rPr>
            </w:pPr>
            <w:r>
              <w:rPr>
                <w:rFonts w:hint="eastAsia" w:asciiTheme="majorEastAsia" w:hAnsiTheme="majorEastAsia" w:eastAsiaTheme="majorEastAsia" w:cstheme="majorEastAsia"/>
                <w:color w:val="auto"/>
                <w:sz w:val="24"/>
                <w:szCs w:val="24"/>
                <w:lang w:val="es-ES" w:eastAsia="zh-CN"/>
              </w:rPr>
              <w:t>在常规染色基础上进行免疫组织化学染色，为医师提供诊断的辅助信息。项目包括：</w:t>
            </w:r>
            <w:r>
              <w:rPr>
                <w:rFonts w:hint="eastAsia" w:asciiTheme="majorEastAsia" w:hAnsiTheme="majorEastAsia" w:eastAsiaTheme="majorEastAsia" w:cstheme="majorEastAsia"/>
                <w:color w:val="auto"/>
                <w:sz w:val="24"/>
                <w:szCs w:val="24"/>
                <w:lang w:val="en-US" w:eastAsia="zh-CN"/>
              </w:rPr>
              <w:t>BRAF(V600E)、DAB染色液、DAB染色增强液、AFP、ERG、B-HCG、P40、LH、SALL4、GS、PAX-2、PAX-8、GCDFP、MyoD1、CD10、CD44V6、ACTH、CMV、PTH、Myogenin、MOC31。</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bidi="zh-CN"/>
              </w:rPr>
            </w:pPr>
            <w:r>
              <w:rPr>
                <w:rFonts w:hint="eastAsia" w:asciiTheme="majorEastAsia" w:hAnsiTheme="majorEastAsia" w:eastAsiaTheme="majorEastAsia" w:cstheme="majorEastAsia"/>
                <w:color w:val="auto"/>
                <w:sz w:val="24"/>
                <w:szCs w:val="24"/>
                <w:lang w:val="en-US" w:eastAsia="zh-CN"/>
              </w:rPr>
              <w:t>B0809-2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rPr>
            </w:pPr>
            <w:r>
              <w:rPr>
                <w:rFonts w:hint="eastAsia" w:asciiTheme="majorEastAsia" w:hAnsiTheme="majorEastAsia" w:eastAsiaTheme="majorEastAsia" w:cstheme="majorEastAsia"/>
                <w:color w:val="auto"/>
                <w:kern w:val="0"/>
                <w:sz w:val="24"/>
                <w:szCs w:val="24"/>
                <w:lang w:val="en-US" w:eastAsia="zh-CN"/>
              </w:rPr>
              <w:t>荧光原位杂交试剂盒</w:t>
            </w:r>
            <w:r>
              <w:rPr>
                <w:rFonts w:hint="eastAsia" w:asciiTheme="majorEastAsia" w:hAnsiTheme="majorEastAsia" w:eastAsiaTheme="majorEastAsia" w:cstheme="majorEastAsia"/>
                <w:color w:val="auto"/>
                <w:kern w:val="0"/>
                <w:sz w:val="24"/>
                <w:szCs w:val="24"/>
                <w:lang w:val="es-ES"/>
              </w:rPr>
              <w:t xml:space="preserve">                               </w:t>
            </w:r>
          </w:p>
          <w:p>
            <w:pPr>
              <w:ind w:left="0" w:leftChars="0" w:right="0" w:rightChars="0"/>
              <w:jc w:val="center"/>
              <w:rPr>
                <w:rFonts w:hint="eastAsia" w:asciiTheme="majorEastAsia" w:hAnsiTheme="majorEastAsia" w:eastAsiaTheme="majorEastAsia" w:cstheme="majorEastAsia"/>
                <w:color w:val="auto"/>
                <w:kern w:val="0"/>
                <w:sz w:val="24"/>
                <w:szCs w:val="24"/>
                <w:lang w:val="en-US" w:eastAsia="zh-CN" w:bidi="zh-CN"/>
              </w:rPr>
            </w:pP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1.人类ALK基因融合检测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2.MET基因检测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3.人类HER2基因扩增检测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4.TERC基因扩增检测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5.TOP2A基因扩增检测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6.膀胱癌细胞染色体及基因异常探针检测）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7.MYC（8q24）/BCL6（3q27）/BCL2（18q21）基因断裂探针检测8.BCR/ABL融合基因检测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9.慢性淋巴细胞白血病染色体及基因异常探针检测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10.骨髓增生异常综合征染色体及基因异常探针检测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11.AML1/ETO融合基因检测</w:t>
            </w:r>
          </w:p>
          <w:p>
            <w:pPr>
              <w:ind w:left="0" w:leftChars="0" w:right="0" w:rightChars="0"/>
              <w:rPr>
                <w:rFonts w:hint="eastAsia" w:asciiTheme="majorEastAsia" w:hAnsiTheme="majorEastAsia" w:eastAsiaTheme="majorEastAsia" w:cstheme="majorEastAsia"/>
                <w:color w:val="auto"/>
                <w:sz w:val="24"/>
                <w:szCs w:val="24"/>
                <w:lang w:val="en-US" w:eastAsia="zh-CN" w:bidi="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rPr>
              <w:t>Y0808-6</w:t>
            </w:r>
          </w:p>
        </w:tc>
        <w:tc>
          <w:tcPr>
            <w:tcW w:w="1650"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s-ES"/>
              </w:rPr>
              <w:t>聚丙烯不可吸收缝合线</w:t>
            </w:r>
          </w:p>
        </w:tc>
        <w:tc>
          <w:tcPr>
            <w:tcW w:w="5864"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kern w:val="0"/>
                <w:sz w:val="24"/>
                <w:szCs w:val="24"/>
                <w:lang w:val="es-ES" w:eastAsia="zh-CN"/>
              </w:rPr>
              <w:t>用于术中缝合固定人工晶体于巩膜上以达到人工晶体固定良好的目的</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rPr>
              <w:t>Y0808-3</w:t>
            </w:r>
          </w:p>
        </w:tc>
        <w:tc>
          <w:tcPr>
            <w:tcW w:w="1650"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s-ES"/>
              </w:rPr>
              <w:t>硅油注吸包</w:t>
            </w:r>
          </w:p>
        </w:tc>
        <w:tc>
          <w:tcPr>
            <w:tcW w:w="5864"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s-ES" w:eastAsia="zh-CN"/>
              </w:rPr>
              <w:t>适配博士伦玻切机，对复杂视网膜视网膜脱离、黄斑裂孔、糖尿病视网膜病变等需术中注入硅油或术后病情稳定需行硅油取出术的患者术中应用，缩短手术时间，减少损伤。</w:t>
            </w:r>
          </w:p>
        </w:tc>
      </w:tr>
    </w:tbl>
    <w:p>
      <w:pPr>
        <w:spacing w:before="0"/>
        <w:ind w:right="0"/>
        <w:jc w:val="left"/>
        <w:rPr>
          <w:rFonts w:hint="eastAsia"/>
          <w:b/>
          <w:sz w:val="30"/>
          <w:lang w:val="en-US" w:eastAsia="zh-CN"/>
        </w:rPr>
      </w:pPr>
    </w:p>
    <w:p>
      <w:pPr>
        <w:spacing w:before="0"/>
        <w:ind w:right="0"/>
        <w:jc w:val="left"/>
        <w:rPr>
          <w:rFonts w:hint="eastAsia"/>
          <w:b/>
          <w:sz w:val="30"/>
          <w:lang w:val="en-US" w:eastAsia="zh-CN"/>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ascii="宋体" w:hAnsi="宋体" w:cs="宋体"/>
          <w:sz w:val="28"/>
          <w:szCs w:val="28"/>
        </w:rPr>
      </w:pPr>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u w:val="single"/>
        </w:rPr>
        <w:t xml:space="preserve">        </w:t>
      </w:r>
      <w:r>
        <w:rPr>
          <w:rFonts w:hint="eastAsia" w:ascii="宋体" w:hAnsi="宋体" w:cs="宋体"/>
          <w:sz w:val="44"/>
          <w:szCs w:val="44"/>
        </w:rPr>
        <w:t>联系电话</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4"/>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7"/>
              <w:spacing w:before="17"/>
              <w:ind w:left="12"/>
              <w:jc w:val="center"/>
              <w:rPr>
                <w:rFonts w:hint="eastAsia" w:ascii="宋体" w:eastAsia="宋体"/>
                <w:b/>
                <w:sz w:val="24"/>
              </w:rPr>
            </w:pPr>
            <w:r>
              <w:rPr>
                <w:rFonts w:hint="eastAsia" w:ascii="宋体" w:eastAsia="宋体"/>
                <w:b/>
                <w:sz w:val="24"/>
              </w:rPr>
              <w:t>耗材名称</w:t>
            </w:r>
          </w:p>
          <w:p>
            <w:pPr>
              <w:pStyle w:val="7"/>
              <w:spacing w:before="192"/>
              <w:ind w:left="12"/>
              <w:jc w:val="center"/>
              <w:rPr>
                <w:rFonts w:hint="eastAsia" w:ascii="宋体" w:eastAsia="宋体"/>
                <w:b/>
                <w:sz w:val="24"/>
              </w:rPr>
            </w:pPr>
            <w:r>
              <w:rPr>
                <w:rFonts w:hint="eastAsia" w:ascii="宋体" w:eastAsia="宋体"/>
                <w:b/>
                <w:sz w:val="18"/>
              </w:rPr>
              <w:t>（注册证名称）</w:t>
            </w:r>
          </w:p>
        </w:tc>
        <w:tc>
          <w:tcPr>
            <w:tcW w:w="1437" w:type="dxa"/>
          </w:tcPr>
          <w:p>
            <w:pPr>
              <w:pStyle w:val="7"/>
              <w:spacing w:before="17"/>
              <w:ind w:left="12"/>
              <w:jc w:val="center"/>
              <w:rPr>
                <w:rFonts w:hint="eastAsia" w:ascii="宋体" w:eastAsia="宋体"/>
                <w:b/>
                <w:sz w:val="24"/>
              </w:rPr>
            </w:pPr>
          </w:p>
        </w:tc>
        <w:tc>
          <w:tcPr>
            <w:tcW w:w="818" w:type="dxa"/>
          </w:tcPr>
          <w:p>
            <w:pPr>
              <w:pStyle w:val="7"/>
              <w:spacing w:before="17"/>
              <w:ind w:left="12"/>
              <w:jc w:val="center"/>
              <w:rPr>
                <w:rFonts w:hint="eastAsia" w:ascii="宋体" w:eastAsia="宋体"/>
                <w:b/>
                <w:sz w:val="24"/>
              </w:rPr>
            </w:pPr>
          </w:p>
          <w:p>
            <w:pPr>
              <w:pStyle w:val="7"/>
              <w:spacing w:before="17"/>
              <w:ind w:left="12"/>
              <w:jc w:val="center"/>
              <w:rPr>
                <w:rFonts w:hint="eastAsia" w:ascii="宋体" w:eastAsia="宋体"/>
                <w:b/>
                <w:sz w:val="24"/>
              </w:rPr>
            </w:pPr>
            <w:r>
              <w:rPr>
                <w:rFonts w:hint="eastAsia" w:ascii="宋体" w:eastAsia="宋体"/>
                <w:b/>
                <w:sz w:val="24"/>
              </w:rPr>
              <w:t>品牌</w:t>
            </w:r>
          </w:p>
        </w:tc>
        <w:tc>
          <w:tcPr>
            <w:tcW w:w="996" w:type="dxa"/>
          </w:tcPr>
          <w:p>
            <w:pPr>
              <w:pStyle w:val="7"/>
              <w:rPr>
                <w:rFonts w:ascii="Times New Roman"/>
                <w:sz w:val="20"/>
              </w:rPr>
            </w:pPr>
          </w:p>
        </w:tc>
        <w:tc>
          <w:tcPr>
            <w:tcW w:w="1527" w:type="dxa"/>
          </w:tcPr>
          <w:p>
            <w:pPr>
              <w:pStyle w:val="7"/>
              <w:spacing w:before="192"/>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2"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7"/>
              <w:spacing w:before="32"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7"/>
              <w:spacing w:before="32" w:line="303" w:lineRule="exact"/>
              <w:ind w:left="464"/>
              <w:rPr>
                <w:rFonts w:hint="eastAsia" w:ascii="宋体" w:eastAsia="宋体"/>
                <w:b/>
                <w:sz w:val="24"/>
              </w:rPr>
            </w:pPr>
            <w:r>
              <w:rPr>
                <w:rFonts w:hint="eastAsia" w:ascii="宋体" w:eastAsia="宋体"/>
                <w:b/>
                <w:sz w:val="24"/>
              </w:rPr>
              <w:t>页码</w:t>
            </w:r>
          </w:p>
        </w:tc>
        <w:tc>
          <w:tcPr>
            <w:tcW w:w="2550" w:type="dxa"/>
          </w:tcPr>
          <w:p>
            <w:pPr>
              <w:pStyle w:val="7"/>
              <w:spacing w:before="32"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2"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7"/>
              <w:spacing w:before="58"/>
              <w:ind w:left="20"/>
              <w:rPr>
                <w:rFonts w:hint="eastAsia" w:ascii="宋体" w:eastAsia="宋体"/>
                <w:sz w:val="20"/>
              </w:rPr>
            </w:pPr>
            <w:r>
              <w:rPr>
                <w:rFonts w:hint="eastAsia" w:ascii="宋体" w:eastAsia="宋体"/>
                <w:sz w:val="20"/>
              </w:rPr>
              <w:t>复印件均加盖公章</w:t>
            </w:r>
          </w:p>
        </w:tc>
        <w:tc>
          <w:tcPr>
            <w:tcW w:w="1527" w:type="dxa"/>
          </w:tcPr>
          <w:p>
            <w:pPr>
              <w:pStyle w:val="7"/>
              <w:spacing w:before="18"/>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7"/>
              <w:tabs>
                <w:tab w:val="left" w:pos="696"/>
              </w:tabs>
              <w:spacing w:before="18"/>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jc w:val="center"/>
              <w:rPr>
                <w:sz w:val="2"/>
                <w:szCs w:val="2"/>
              </w:rPr>
            </w:pPr>
            <w:r>
              <w:rPr>
                <w:rFonts w:hint="eastAsia" w:ascii="宋体" w:eastAsia="宋体"/>
                <w:sz w:val="24"/>
              </w:rPr>
              <w:t>报名信息</w:t>
            </w:r>
          </w:p>
        </w:tc>
        <w:tc>
          <w:tcPr>
            <w:tcW w:w="3251" w:type="dxa"/>
            <w:gridSpan w:val="3"/>
          </w:tcPr>
          <w:p>
            <w:pPr>
              <w:pStyle w:val="7"/>
              <w:spacing w:before="57"/>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rPr>
                <w:sz w:val="2"/>
                <w:szCs w:val="2"/>
              </w:rPr>
            </w:pPr>
          </w:p>
        </w:tc>
        <w:tc>
          <w:tcPr>
            <w:tcW w:w="2550" w:type="dxa"/>
            <w:vMerge w:val="restart"/>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0"/>
              <w:rPr>
                <w:rFonts w:ascii="宋体"/>
                <w:b/>
                <w:sz w:val="18"/>
              </w:rPr>
            </w:pPr>
          </w:p>
          <w:p>
            <w:pPr>
              <w:pStyle w:val="7"/>
              <w:spacing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7"/>
              <w:spacing w:before="58"/>
              <w:ind w:left="20"/>
              <w:rPr>
                <w:rFonts w:hint="eastAsia" w:ascii="宋体" w:eastAsia="宋体"/>
                <w:sz w:val="20"/>
              </w:rPr>
            </w:pPr>
            <w:r>
              <w:rPr>
                <w:rFonts w:hint="eastAsia" w:ascii="宋体" w:eastAsia="宋体"/>
                <w:sz w:val="20"/>
              </w:rPr>
              <w:t>注册证</w:t>
            </w:r>
          </w:p>
        </w:tc>
        <w:tc>
          <w:tcPr>
            <w:tcW w:w="1527" w:type="dxa"/>
          </w:tcPr>
          <w:p>
            <w:pPr>
              <w:pStyle w:val="7"/>
              <w:jc w:val="center"/>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注册证附表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非医疗器械依据</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0"/>
              <w:rPr>
                <w:rFonts w:ascii="宋体"/>
                <w:b/>
                <w:sz w:val="18"/>
              </w:rPr>
            </w:pPr>
          </w:p>
          <w:p>
            <w:pPr>
              <w:pStyle w:val="7"/>
              <w:spacing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7"/>
              <w:spacing w:before="57"/>
              <w:ind w:left="20"/>
              <w:rPr>
                <w:rFonts w:hint="eastAsia" w:ascii="宋体" w:eastAsia="宋体"/>
                <w:sz w:val="20"/>
              </w:rPr>
            </w:pPr>
            <w:r>
              <w:rPr>
                <w:rFonts w:hint="eastAsia" w:ascii="宋体" w:eastAsia="宋体"/>
                <w:sz w:val="20"/>
              </w:rPr>
              <w:t>营业执照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医疗器械生产许可证</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医疗器械生产产品登记表（国产）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57"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7"/>
              <w:spacing w:before="57"/>
              <w:ind w:left="20"/>
              <w:rPr>
                <w:rFonts w:hint="eastAsia" w:ascii="宋体" w:eastAsia="宋体"/>
                <w:sz w:val="20"/>
              </w:rPr>
            </w:pPr>
            <w:r>
              <w:rPr>
                <w:rFonts w:hint="eastAsia" w:ascii="宋体" w:eastAsia="宋体"/>
                <w:sz w:val="20"/>
              </w:rPr>
              <w:t>营业执照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医疗器械经营许可证/备案凭证</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1"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7"/>
              <w:spacing w:before="59"/>
              <w:ind w:left="20"/>
              <w:rPr>
                <w:rFonts w:hint="eastAsia" w:ascii="宋体" w:eastAsia="宋体"/>
                <w:sz w:val="20"/>
              </w:rPr>
            </w:pPr>
            <w:r>
              <w:rPr>
                <w:rFonts w:hint="eastAsia" w:ascii="宋体" w:eastAsia="宋体"/>
                <w:sz w:val="20"/>
              </w:rPr>
              <w:t>制造商授权书（两票）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1"/>
              <w:rPr>
                <w:rFonts w:ascii="宋体"/>
                <w:b/>
                <w:sz w:val="18"/>
              </w:rPr>
            </w:pPr>
          </w:p>
          <w:p>
            <w:pPr>
              <w:pStyle w:val="7"/>
              <w:spacing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7"/>
              <w:spacing w:before="59"/>
              <w:ind w:left="20"/>
              <w:rPr>
                <w:rFonts w:hint="eastAsia" w:ascii="宋体" w:eastAsia="宋体"/>
                <w:sz w:val="20"/>
              </w:rPr>
            </w:pPr>
            <w:r>
              <w:rPr>
                <w:rFonts w:hint="eastAsia" w:ascii="宋体" w:eastAsia="宋体"/>
                <w:sz w:val="20"/>
              </w:rPr>
              <w:t>业务员法人授权书</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法定代表人居民身份证复印件</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被授权人居民身份证复印件</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rPr>
                <w:rFonts w:ascii="宋体"/>
                <w:b/>
                <w:sz w:val="24"/>
              </w:rPr>
            </w:pPr>
          </w:p>
          <w:p>
            <w:pPr>
              <w:pStyle w:val="7"/>
              <w:spacing w:before="3"/>
              <w:rPr>
                <w:rFonts w:ascii="宋体"/>
                <w:b/>
                <w:sz w:val="21"/>
              </w:rPr>
            </w:pPr>
          </w:p>
          <w:p>
            <w:pPr>
              <w:pStyle w:val="7"/>
              <w:ind w:left="174"/>
              <w:rPr>
                <w:rFonts w:hint="eastAsia" w:ascii="宋体" w:eastAsia="宋体"/>
                <w:sz w:val="24"/>
              </w:rPr>
            </w:pPr>
            <w:r>
              <w:rPr>
                <w:rFonts w:hint="eastAsia" w:ascii="宋体" w:eastAsia="宋体"/>
                <w:sz w:val="24"/>
              </w:rPr>
              <w:t>耗材信息</w:t>
            </w:r>
          </w:p>
        </w:tc>
        <w:tc>
          <w:tcPr>
            <w:tcW w:w="3251" w:type="dxa"/>
            <w:gridSpan w:val="3"/>
          </w:tcPr>
          <w:p>
            <w:pPr>
              <w:pStyle w:val="7"/>
              <w:spacing w:before="58"/>
              <w:ind w:left="20"/>
              <w:rPr>
                <w:rFonts w:hint="eastAsia" w:ascii="宋体" w:eastAsia="宋体"/>
                <w:sz w:val="20"/>
              </w:rPr>
            </w:pPr>
            <w:r>
              <w:rPr>
                <w:rFonts w:hint="eastAsia" w:ascii="宋体" w:eastAsia="宋体"/>
                <w:sz w:val="20"/>
              </w:rPr>
              <w:t>规格型号</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技术参数</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配置清单</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产品说明书</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58" w:line="242" w:lineRule="auto"/>
              <w:ind w:left="414" w:right="158" w:hanging="240"/>
              <w:rPr>
                <w:rFonts w:hint="eastAsia" w:ascii="宋体" w:eastAsia="宋体"/>
                <w:sz w:val="24"/>
              </w:rPr>
            </w:pPr>
            <w:r>
              <w:rPr>
                <w:rFonts w:hint="eastAsia" w:ascii="宋体" w:eastAsia="宋体"/>
                <w:sz w:val="24"/>
              </w:rPr>
              <w:t>现行价格证明</w:t>
            </w:r>
          </w:p>
        </w:tc>
        <w:tc>
          <w:tcPr>
            <w:tcW w:w="3251" w:type="dxa"/>
            <w:gridSpan w:val="3"/>
          </w:tcPr>
          <w:p>
            <w:pPr>
              <w:pStyle w:val="7"/>
              <w:spacing w:before="57"/>
              <w:ind w:left="20"/>
              <w:rPr>
                <w:rFonts w:hint="eastAsia" w:ascii="宋体" w:eastAsia="宋体"/>
                <w:sz w:val="20"/>
              </w:rPr>
            </w:pPr>
            <w:r>
              <w:rPr>
                <w:rFonts w:hint="eastAsia" w:ascii="宋体" w:eastAsia="宋体"/>
                <w:sz w:val="20"/>
              </w:rPr>
              <w:t>平台文件（京津冀/江苏六大类）</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市内三甲医院合同/随货同行/发票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7"/>
              <w:spacing w:before="26"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7"/>
              <w:spacing w:before="45"/>
              <w:ind w:left="20"/>
              <w:rPr>
                <w:rFonts w:hint="eastAsia" w:ascii="宋体" w:eastAsia="宋体"/>
                <w:sz w:val="20"/>
              </w:rPr>
            </w:pPr>
            <w:r>
              <w:rPr>
                <w:rFonts w:hint="eastAsia" w:ascii="宋体" w:eastAsia="宋体"/>
                <w:sz w:val="20"/>
              </w:rPr>
              <w:t>三级甲等医院用户名单</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44"/>
              <w:ind w:left="20"/>
              <w:rPr>
                <w:rFonts w:hint="eastAsia" w:ascii="宋体" w:eastAsia="宋体"/>
                <w:sz w:val="20"/>
              </w:rPr>
            </w:pPr>
            <w:r>
              <w:rPr>
                <w:rFonts w:hint="eastAsia" w:ascii="宋体" w:eastAsia="宋体"/>
                <w:sz w:val="20"/>
              </w:rPr>
              <w:t>彩页</w:t>
            </w:r>
          </w:p>
        </w:tc>
        <w:tc>
          <w:tcPr>
            <w:tcW w:w="1527" w:type="dxa"/>
          </w:tcPr>
          <w:p>
            <w:pPr>
              <w:pStyle w:val="7"/>
              <w:rPr>
                <w:rFonts w:ascii="Times New Roman"/>
                <w:sz w:val="20"/>
              </w:rPr>
            </w:pPr>
          </w:p>
        </w:tc>
        <w:tc>
          <w:tcPr>
            <w:tcW w:w="2550" w:type="dxa"/>
          </w:tcPr>
          <w:p>
            <w:pPr>
              <w:pStyle w:val="7"/>
              <w:rPr>
                <w:rFonts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4"/>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984"/>
        <w:gridCol w:w="938"/>
        <w:gridCol w:w="696"/>
        <w:gridCol w:w="1310"/>
        <w:gridCol w:w="1377"/>
        <w:gridCol w:w="1459"/>
        <w:gridCol w:w="1691"/>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6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4"/>
        <w:tblW w:w="13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735"/>
        <w:gridCol w:w="1785"/>
        <w:gridCol w:w="690"/>
        <w:gridCol w:w="789"/>
        <w:gridCol w:w="696"/>
        <w:gridCol w:w="1215"/>
        <w:gridCol w:w="705"/>
        <w:gridCol w:w="902"/>
        <w:gridCol w:w="969"/>
        <w:gridCol w:w="664"/>
        <w:gridCol w:w="975"/>
        <w:gridCol w:w="930"/>
        <w:gridCol w:w="85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90"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耗材信息表</w:t>
            </w:r>
            <w:r>
              <w:rPr>
                <w:rStyle w:val="10"/>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全国医保编码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收费编码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河北省挂网价(元）</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95361"/>
    <w:multiLevelType w:val="singleLevel"/>
    <w:tmpl w:val="8A595361"/>
    <w:lvl w:ilvl="0" w:tentative="0">
      <w:start w:val="1"/>
      <w:numFmt w:val="decimal"/>
      <w:lvlText w:val="%1."/>
      <w:lvlJc w:val="left"/>
      <w:pPr>
        <w:tabs>
          <w:tab w:val="left" w:pos="312"/>
        </w:tabs>
      </w:pPr>
    </w:lvl>
  </w:abstractNum>
  <w:abstractNum w:abstractNumId="1">
    <w:nsid w:val="8F515CF4"/>
    <w:multiLevelType w:val="singleLevel"/>
    <w:tmpl w:val="8F515CF4"/>
    <w:lvl w:ilvl="0" w:tentative="0">
      <w:start w:val="1"/>
      <w:numFmt w:val="decimal"/>
      <w:lvlText w:val="%1."/>
      <w:lvlJc w:val="left"/>
      <w:pPr>
        <w:tabs>
          <w:tab w:val="left" w:pos="312"/>
        </w:tabs>
      </w:pPr>
    </w:lvl>
  </w:abstractNum>
  <w:abstractNum w:abstractNumId="2">
    <w:nsid w:val="91DFD440"/>
    <w:multiLevelType w:val="singleLevel"/>
    <w:tmpl w:val="91DFD440"/>
    <w:lvl w:ilvl="0" w:tentative="0">
      <w:start w:val="1"/>
      <w:numFmt w:val="decimal"/>
      <w:lvlText w:val="%1."/>
      <w:lvlJc w:val="left"/>
      <w:pPr>
        <w:tabs>
          <w:tab w:val="left" w:pos="312"/>
        </w:tabs>
      </w:pPr>
    </w:lvl>
  </w:abstractNum>
  <w:abstractNum w:abstractNumId="3">
    <w:nsid w:val="966BC10D"/>
    <w:multiLevelType w:val="singleLevel"/>
    <w:tmpl w:val="966BC10D"/>
    <w:lvl w:ilvl="0" w:tentative="0">
      <w:start w:val="1"/>
      <w:numFmt w:val="decimal"/>
      <w:lvlText w:val="%1."/>
      <w:lvlJc w:val="left"/>
      <w:pPr>
        <w:tabs>
          <w:tab w:val="left" w:pos="312"/>
        </w:tabs>
      </w:pPr>
    </w:lvl>
  </w:abstractNum>
  <w:abstractNum w:abstractNumId="4">
    <w:nsid w:val="96AEF15C"/>
    <w:multiLevelType w:val="singleLevel"/>
    <w:tmpl w:val="96AEF15C"/>
    <w:lvl w:ilvl="0" w:tentative="0">
      <w:start w:val="1"/>
      <w:numFmt w:val="decimal"/>
      <w:lvlText w:val="%1."/>
      <w:lvlJc w:val="left"/>
      <w:pPr>
        <w:tabs>
          <w:tab w:val="left" w:pos="312"/>
        </w:tabs>
      </w:pPr>
    </w:lvl>
  </w:abstractNum>
  <w:abstractNum w:abstractNumId="5">
    <w:nsid w:val="9B796E82"/>
    <w:multiLevelType w:val="singleLevel"/>
    <w:tmpl w:val="9B796E82"/>
    <w:lvl w:ilvl="0" w:tentative="0">
      <w:start w:val="1"/>
      <w:numFmt w:val="decimal"/>
      <w:lvlText w:val="%1."/>
      <w:lvlJc w:val="left"/>
      <w:pPr>
        <w:tabs>
          <w:tab w:val="left" w:pos="312"/>
        </w:tabs>
      </w:pPr>
    </w:lvl>
  </w:abstractNum>
  <w:abstractNum w:abstractNumId="6">
    <w:nsid w:val="AF3F24B3"/>
    <w:multiLevelType w:val="singleLevel"/>
    <w:tmpl w:val="AF3F24B3"/>
    <w:lvl w:ilvl="0" w:tentative="0">
      <w:start w:val="1"/>
      <w:numFmt w:val="decimal"/>
      <w:lvlText w:val="%1."/>
      <w:lvlJc w:val="left"/>
      <w:pPr>
        <w:tabs>
          <w:tab w:val="left" w:pos="312"/>
        </w:tabs>
      </w:pPr>
    </w:lvl>
  </w:abstractNum>
  <w:abstractNum w:abstractNumId="7">
    <w:nsid w:val="D1526DF3"/>
    <w:multiLevelType w:val="singleLevel"/>
    <w:tmpl w:val="D1526DF3"/>
    <w:lvl w:ilvl="0" w:tentative="0">
      <w:start w:val="1"/>
      <w:numFmt w:val="decimal"/>
      <w:lvlText w:val="%1."/>
      <w:lvlJc w:val="left"/>
      <w:pPr>
        <w:tabs>
          <w:tab w:val="left" w:pos="312"/>
        </w:tabs>
      </w:pPr>
    </w:lvl>
  </w:abstractNum>
  <w:abstractNum w:abstractNumId="8">
    <w:nsid w:val="01F2D8C1"/>
    <w:multiLevelType w:val="singleLevel"/>
    <w:tmpl w:val="01F2D8C1"/>
    <w:lvl w:ilvl="0" w:tentative="0">
      <w:start w:val="1"/>
      <w:numFmt w:val="decimal"/>
      <w:lvlText w:val="%1."/>
      <w:lvlJc w:val="left"/>
      <w:pPr>
        <w:tabs>
          <w:tab w:val="left" w:pos="312"/>
        </w:tabs>
      </w:pPr>
    </w:lvl>
  </w:abstractNum>
  <w:abstractNum w:abstractNumId="9">
    <w:nsid w:val="0BE3087C"/>
    <w:multiLevelType w:val="singleLevel"/>
    <w:tmpl w:val="0BE3087C"/>
    <w:lvl w:ilvl="0" w:tentative="0">
      <w:start w:val="1"/>
      <w:numFmt w:val="decimal"/>
      <w:lvlText w:val="%1."/>
      <w:lvlJc w:val="left"/>
      <w:pPr>
        <w:tabs>
          <w:tab w:val="left" w:pos="312"/>
        </w:tabs>
      </w:pPr>
    </w:lvl>
  </w:abstractNum>
  <w:abstractNum w:abstractNumId="10">
    <w:nsid w:val="25B86C7C"/>
    <w:multiLevelType w:val="singleLevel"/>
    <w:tmpl w:val="25B86C7C"/>
    <w:lvl w:ilvl="0" w:tentative="0">
      <w:start w:val="1"/>
      <w:numFmt w:val="decimal"/>
      <w:lvlText w:val="%1."/>
      <w:lvlJc w:val="left"/>
      <w:pPr>
        <w:tabs>
          <w:tab w:val="left" w:pos="312"/>
        </w:tabs>
      </w:pPr>
    </w:lvl>
  </w:abstractNum>
  <w:abstractNum w:abstractNumId="11">
    <w:nsid w:val="273F00F4"/>
    <w:multiLevelType w:val="singleLevel"/>
    <w:tmpl w:val="273F00F4"/>
    <w:lvl w:ilvl="0" w:tentative="0">
      <w:start w:val="1"/>
      <w:numFmt w:val="decimal"/>
      <w:lvlText w:val="%1."/>
      <w:lvlJc w:val="left"/>
      <w:pPr>
        <w:tabs>
          <w:tab w:val="left" w:pos="312"/>
        </w:tabs>
      </w:pPr>
    </w:lvl>
  </w:abstractNum>
  <w:abstractNum w:abstractNumId="12">
    <w:nsid w:val="30978344"/>
    <w:multiLevelType w:val="singleLevel"/>
    <w:tmpl w:val="30978344"/>
    <w:lvl w:ilvl="0" w:tentative="0">
      <w:start w:val="1"/>
      <w:numFmt w:val="decimal"/>
      <w:lvlText w:val="%1."/>
      <w:lvlJc w:val="left"/>
      <w:pPr>
        <w:tabs>
          <w:tab w:val="left" w:pos="312"/>
        </w:tabs>
      </w:pPr>
    </w:lvl>
  </w:abstractNum>
  <w:abstractNum w:abstractNumId="13">
    <w:nsid w:val="40C0AFBC"/>
    <w:multiLevelType w:val="singleLevel"/>
    <w:tmpl w:val="40C0AFBC"/>
    <w:lvl w:ilvl="0" w:tentative="0">
      <w:start w:val="2"/>
      <w:numFmt w:val="decimal"/>
      <w:lvlText w:val="%1."/>
      <w:lvlJc w:val="left"/>
      <w:pPr>
        <w:tabs>
          <w:tab w:val="left" w:pos="312"/>
        </w:tabs>
      </w:pPr>
    </w:lvl>
  </w:abstractNum>
  <w:abstractNum w:abstractNumId="14">
    <w:nsid w:val="43F07BC2"/>
    <w:multiLevelType w:val="singleLevel"/>
    <w:tmpl w:val="43F07BC2"/>
    <w:lvl w:ilvl="0" w:tentative="0">
      <w:start w:val="1"/>
      <w:numFmt w:val="decimal"/>
      <w:lvlText w:val="%1."/>
      <w:lvlJc w:val="left"/>
      <w:pPr>
        <w:tabs>
          <w:tab w:val="left" w:pos="312"/>
        </w:tabs>
      </w:pPr>
    </w:lvl>
  </w:abstractNum>
  <w:abstractNum w:abstractNumId="15">
    <w:nsid w:val="74B6AA0A"/>
    <w:multiLevelType w:val="singleLevel"/>
    <w:tmpl w:val="74B6AA0A"/>
    <w:lvl w:ilvl="0" w:tentative="0">
      <w:start w:val="1"/>
      <w:numFmt w:val="decimal"/>
      <w:lvlText w:val="%1."/>
      <w:lvlJc w:val="left"/>
      <w:pPr>
        <w:tabs>
          <w:tab w:val="left" w:pos="312"/>
        </w:tabs>
      </w:pPr>
    </w:lvl>
  </w:abstractNum>
  <w:abstractNum w:abstractNumId="16">
    <w:nsid w:val="7BCA190B"/>
    <w:multiLevelType w:val="singleLevel"/>
    <w:tmpl w:val="7BCA190B"/>
    <w:lvl w:ilvl="0" w:tentative="0">
      <w:start w:val="1"/>
      <w:numFmt w:val="decimal"/>
      <w:lvlText w:val="%1."/>
      <w:lvlJc w:val="left"/>
      <w:pPr>
        <w:tabs>
          <w:tab w:val="left" w:pos="312"/>
        </w:tabs>
      </w:pPr>
    </w:lvl>
  </w:abstractNum>
  <w:num w:numId="1">
    <w:abstractNumId w:val="12"/>
  </w:num>
  <w:num w:numId="2">
    <w:abstractNumId w:val="14"/>
  </w:num>
  <w:num w:numId="3">
    <w:abstractNumId w:val="4"/>
  </w:num>
  <w:num w:numId="4">
    <w:abstractNumId w:val="7"/>
  </w:num>
  <w:num w:numId="5">
    <w:abstractNumId w:val="9"/>
  </w:num>
  <w:num w:numId="6">
    <w:abstractNumId w:val="13"/>
  </w:num>
  <w:num w:numId="7">
    <w:abstractNumId w:val="16"/>
  </w:num>
  <w:num w:numId="8">
    <w:abstractNumId w:val="0"/>
  </w:num>
  <w:num w:numId="9">
    <w:abstractNumId w:val="5"/>
  </w:num>
  <w:num w:numId="10">
    <w:abstractNumId w:val="10"/>
  </w:num>
  <w:num w:numId="11">
    <w:abstractNumId w:val="3"/>
  </w:num>
  <w:num w:numId="12">
    <w:abstractNumId w:val="1"/>
  </w:num>
  <w:num w:numId="13">
    <w:abstractNumId w:val="15"/>
  </w:num>
  <w:num w:numId="14">
    <w:abstractNumId w:val="2"/>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7F43BE"/>
    <w:rsid w:val="01763BCE"/>
    <w:rsid w:val="02AD7AC3"/>
    <w:rsid w:val="03965E35"/>
    <w:rsid w:val="03E9018B"/>
    <w:rsid w:val="05820C6C"/>
    <w:rsid w:val="072F54F3"/>
    <w:rsid w:val="07CD02C0"/>
    <w:rsid w:val="083E4D1A"/>
    <w:rsid w:val="08DD0238"/>
    <w:rsid w:val="0AF23140"/>
    <w:rsid w:val="0B735DE2"/>
    <w:rsid w:val="0B7F2E6D"/>
    <w:rsid w:val="0BFE4EEC"/>
    <w:rsid w:val="0C9A3DEB"/>
    <w:rsid w:val="0D8C4BF5"/>
    <w:rsid w:val="0D8E6743"/>
    <w:rsid w:val="0DB52EF3"/>
    <w:rsid w:val="0F1D7D7F"/>
    <w:rsid w:val="103C27CE"/>
    <w:rsid w:val="113B1A46"/>
    <w:rsid w:val="11991D14"/>
    <w:rsid w:val="127D7927"/>
    <w:rsid w:val="13525B1D"/>
    <w:rsid w:val="1356385F"/>
    <w:rsid w:val="13A445CA"/>
    <w:rsid w:val="13E62E35"/>
    <w:rsid w:val="14084E41"/>
    <w:rsid w:val="14B720DC"/>
    <w:rsid w:val="15434B22"/>
    <w:rsid w:val="157A2EC7"/>
    <w:rsid w:val="16290DB7"/>
    <w:rsid w:val="169C7635"/>
    <w:rsid w:val="174F2D26"/>
    <w:rsid w:val="184F5194"/>
    <w:rsid w:val="198C1D89"/>
    <w:rsid w:val="19A406B7"/>
    <w:rsid w:val="1A564145"/>
    <w:rsid w:val="1A7F2DB5"/>
    <w:rsid w:val="1B34092A"/>
    <w:rsid w:val="1CC406E9"/>
    <w:rsid w:val="1E166EEC"/>
    <w:rsid w:val="1E1C3531"/>
    <w:rsid w:val="1EA307B4"/>
    <w:rsid w:val="1F8654CC"/>
    <w:rsid w:val="1FDC62F1"/>
    <w:rsid w:val="1FDE2C12"/>
    <w:rsid w:val="1FED72F9"/>
    <w:rsid w:val="21676C37"/>
    <w:rsid w:val="21FF5741"/>
    <w:rsid w:val="224B2C26"/>
    <w:rsid w:val="239A78B3"/>
    <w:rsid w:val="24093ADF"/>
    <w:rsid w:val="24397395"/>
    <w:rsid w:val="2524193A"/>
    <w:rsid w:val="25CC2C1A"/>
    <w:rsid w:val="272A0B04"/>
    <w:rsid w:val="27642267"/>
    <w:rsid w:val="285B737A"/>
    <w:rsid w:val="28952AF8"/>
    <w:rsid w:val="29212057"/>
    <w:rsid w:val="29336C7B"/>
    <w:rsid w:val="2A8D3BB3"/>
    <w:rsid w:val="2AD102EC"/>
    <w:rsid w:val="2B406E77"/>
    <w:rsid w:val="2B4F698B"/>
    <w:rsid w:val="2BA45ABD"/>
    <w:rsid w:val="2BAE2033"/>
    <w:rsid w:val="2C255518"/>
    <w:rsid w:val="2DAC0A15"/>
    <w:rsid w:val="2E14537F"/>
    <w:rsid w:val="2E366A85"/>
    <w:rsid w:val="2FF130FC"/>
    <w:rsid w:val="302E2353"/>
    <w:rsid w:val="304A7E50"/>
    <w:rsid w:val="30637A5C"/>
    <w:rsid w:val="308819B0"/>
    <w:rsid w:val="308B5380"/>
    <w:rsid w:val="31F9354C"/>
    <w:rsid w:val="33640261"/>
    <w:rsid w:val="33840509"/>
    <w:rsid w:val="33CA5530"/>
    <w:rsid w:val="352D221A"/>
    <w:rsid w:val="3573634B"/>
    <w:rsid w:val="35EB3E83"/>
    <w:rsid w:val="36B67FED"/>
    <w:rsid w:val="39292CF8"/>
    <w:rsid w:val="397F2B6A"/>
    <w:rsid w:val="39DA2245"/>
    <w:rsid w:val="3B7A19EB"/>
    <w:rsid w:val="3B950B19"/>
    <w:rsid w:val="3BAC1B96"/>
    <w:rsid w:val="3BDB4052"/>
    <w:rsid w:val="3C7805A2"/>
    <w:rsid w:val="3C901337"/>
    <w:rsid w:val="3D855688"/>
    <w:rsid w:val="3E5227DD"/>
    <w:rsid w:val="3E6F10A1"/>
    <w:rsid w:val="3E7C7D6E"/>
    <w:rsid w:val="3ECD1116"/>
    <w:rsid w:val="3F122481"/>
    <w:rsid w:val="3FA82747"/>
    <w:rsid w:val="40055B41"/>
    <w:rsid w:val="4057639D"/>
    <w:rsid w:val="40AA7E7D"/>
    <w:rsid w:val="41113A47"/>
    <w:rsid w:val="41987213"/>
    <w:rsid w:val="41CA2B9F"/>
    <w:rsid w:val="41CF1EF3"/>
    <w:rsid w:val="42033039"/>
    <w:rsid w:val="428B0580"/>
    <w:rsid w:val="42A20E75"/>
    <w:rsid w:val="4337726F"/>
    <w:rsid w:val="439E4C80"/>
    <w:rsid w:val="44E7657C"/>
    <w:rsid w:val="45E5269D"/>
    <w:rsid w:val="46166482"/>
    <w:rsid w:val="47392418"/>
    <w:rsid w:val="47FF4B8B"/>
    <w:rsid w:val="48546800"/>
    <w:rsid w:val="489D725F"/>
    <w:rsid w:val="48E47761"/>
    <w:rsid w:val="49494C42"/>
    <w:rsid w:val="49C820BA"/>
    <w:rsid w:val="4A83667D"/>
    <w:rsid w:val="4C054E59"/>
    <w:rsid w:val="4D445EFB"/>
    <w:rsid w:val="4EF17752"/>
    <w:rsid w:val="50A76ECD"/>
    <w:rsid w:val="50DE1A1F"/>
    <w:rsid w:val="51C27D36"/>
    <w:rsid w:val="527C1C93"/>
    <w:rsid w:val="52C579E6"/>
    <w:rsid w:val="53122466"/>
    <w:rsid w:val="55EB5A15"/>
    <w:rsid w:val="561E2809"/>
    <w:rsid w:val="56E04EE6"/>
    <w:rsid w:val="572F521C"/>
    <w:rsid w:val="579B705F"/>
    <w:rsid w:val="57DA6296"/>
    <w:rsid w:val="58562F86"/>
    <w:rsid w:val="5889510A"/>
    <w:rsid w:val="58DA6709"/>
    <w:rsid w:val="58DB65D4"/>
    <w:rsid w:val="58DE6664"/>
    <w:rsid w:val="59850F1B"/>
    <w:rsid w:val="59AD3802"/>
    <w:rsid w:val="5A751DEA"/>
    <w:rsid w:val="5A755946"/>
    <w:rsid w:val="5ABF18BC"/>
    <w:rsid w:val="5B2C6D7D"/>
    <w:rsid w:val="5BD743DE"/>
    <w:rsid w:val="5BEA5E65"/>
    <w:rsid w:val="5BFF15A3"/>
    <w:rsid w:val="5C3F5CCB"/>
    <w:rsid w:val="5CE447B6"/>
    <w:rsid w:val="5D427B01"/>
    <w:rsid w:val="5D646842"/>
    <w:rsid w:val="5F2A7F10"/>
    <w:rsid w:val="5F852791"/>
    <w:rsid w:val="608605A7"/>
    <w:rsid w:val="60FC2464"/>
    <w:rsid w:val="61DE76C6"/>
    <w:rsid w:val="620677CB"/>
    <w:rsid w:val="62A50D92"/>
    <w:rsid w:val="646830AE"/>
    <w:rsid w:val="64A7238C"/>
    <w:rsid w:val="64DC371B"/>
    <w:rsid w:val="64DD0CB7"/>
    <w:rsid w:val="654E42F5"/>
    <w:rsid w:val="65DF4CFD"/>
    <w:rsid w:val="66477914"/>
    <w:rsid w:val="66D512E8"/>
    <w:rsid w:val="67B416BE"/>
    <w:rsid w:val="67D0065F"/>
    <w:rsid w:val="683A3D2B"/>
    <w:rsid w:val="688B4BC9"/>
    <w:rsid w:val="69116A62"/>
    <w:rsid w:val="6B4355EC"/>
    <w:rsid w:val="6B461A7A"/>
    <w:rsid w:val="6B7144A1"/>
    <w:rsid w:val="6B861AF8"/>
    <w:rsid w:val="6C0369AE"/>
    <w:rsid w:val="6C136D9D"/>
    <w:rsid w:val="6C432361"/>
    <w:rsid w:val="6DA11374"/>
    <w:rsid w:val="6FA7614A"/>
    <w:rsid w:val="70F941F5"/>
    <w:rsid w:val="71461053"/>
    <w:rsid w:val="71E573FD"/>
    <w:rsid w:val="72E42010"/>
    <w:rsid w:val="72F21DD2"/>
    <w:rsid w:val="73830C7C"/>
    <w:rsid w:val="750B58E9"/>
    <w:rsid w:val="75956A44"/>
    <w:rsid w:val="759F72BA"/>
    <w:rsid w:val="762D259F"/>
    <w:rsid w:val="767D44EB"/>
    <w:rsid w:val="7690756A"/>
    <w:rsid w:val="76BE175B"/>
    <w:rsid w:val="7718505A"/>
    <w:rsid w:val="782A7918"/>
    <w:rsid w:val="784604CA"/>
    <w:rsid w:val="793024BA"/>
    <w:rsid w:val="797C0647"/>
    <w:rsid w:val="7AB041E9"/>
    <w:rsid w:val="7B026A80"/>
    <w:rsid w:val="7B6D3318"/>
    <w:rsid w:val="7BA51BB2"/>
    <w:rsid w:val="7C4D6B98"/>
    <w:rsid w:val="7C4E6030"/>
    <w:rsid w:val="7D02665D"/>
    <w:rsid w:val="7D4F7E21"/>
    <w:rsid w:val="7D9A72EE"/>
    <w:rsid w:val="7EA13CB3"/>
    <w:rsid w:val="7F067B9D"/>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Table Paragraph"/>
    <w:basedOn w:val="1"/>
    <w:qFormat/>
    <w:uiPriority w:val="1"/>
    <w:rPr>
      <w:rFonts w:ascii="仿宋_GB2312" w:hAnsi="仿宋_GB2312" w:eastAsia="仿宋_GB2312" w:cs="仿宋_GB2312"/>
      <w:lang w:val="zh-CN" w:eastAsia="zh-CN" w:bidi="zh-CN"/>
    </w:rPr>
  </w:style>
  <w:style w:type="paragraph" w:styleId="8">
    <w:name w:val="List Paragraph"/>
    <w:basedOn w:val="1"/>
    <w:qFormat/>
    <w:uiPriority w:val="34"/>
    <w:pPr>
      <w:ind w:firstLine="420" w:firstLineChars="200"/>
    </w:pPr>
    <w:rPr>
      <w:rFonts w:ascii="Calibri" w:hAnsi="Calibri"/>
    </w:rPr>
  </w:style>
  <w:style w:type="character" w:customStyle="1" w:styleId="9">
    <w:name w:val="font31"/>
    <w:basedOn w:val="6"/>
    <w:qFormat/>
    <w:uiPriority w:val="0"/>
    <w:rPr>
      <w:rFonts w:hint="eastAsia" w:ascii="宋体" w:hAnsi="宋体" w:eastAsia="宋体" w:cs="宋体"/>
      <w:color w:val="FF0000"/>
      <w:sz w:val="24"/>
      <w:szCs w:val="24"/>
      <w:u w:val="none"/>
    </w:rPr>
  </w:style>
  <w:style w:type="character" w:customStyle="1" w:styleId="10">
    <w:name w:val="font21"/>
    <w:basedOn w:val="6"/>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4524</Words>
  <Characters>5382</Characters>
  <Lines>0</Lines>
  <Paragraphs>0</Paragraphs>
  <TotalTime>18</TotalTime>
  <ScaleCrop>false</ScaleCrop>
  <LinksUpToDate>false</LinksUpToDate>
  <CharactersWithSpaces>5627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cp:lastPrinted>2022-10-27T08:58:26Z</cp:lastPrinted>
  <dcterms:modified xsi:type="dcterms:W3CDTF">2022-10-27T09:03:17Z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D7952CA9FC48456687C89DFBEDA40070</vt:lpwstr>
  </property>
</Properties>
</file>